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261—49.7</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1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49.7(1)</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 xml:space="preserve">Part 1 applications may be submitted year-round. A Part 1 application must be submitted prior to the project being completed and placed in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 xml:space="preserve">Applicants must provide a site plan, photographs of the property taken prior to any rehabilitation and any new construction, a copy of the county assessor’s statement for the property, applicable documentation of the applicant’s status as an eligible taxpayer as described in rule </w:t>
      </w:r>
      <w:hyperlink r:id="rId4">
        <w:r>
          <w:rPr>
            <w:rStyle w:val="Hyperlink"/>
            <w:rFonts w:ascii="Times New Roman" w:hAnsi="Times New Roman"/>
            <w:b w:val="false"/>
            <w:i w:val="false"/>
            <w:color w:val="000000"/>
            <w:sz w:val="22"/>
          </w:rPr>
          <w:t>261—49.5(404A)</w:t>
        </w:r>
      </w:hyperlink>
      <w:r>
        <w:rPr>
          <w:rFonts w:ascii="Times New Roman" w:hAnsi="Times New Roman"/>
          <w:b w:val="false"/>
          <w:i w:val="false"/>
          <w:color w:val="000000"/>
          <w:sz w:val="22"/>
        </w:rPr>
        <w:t>, information about the current and intended future uses of the property, and such other information as SHPO may require to assess whether the property is historically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49.7(3)</w:t>
      </w:r>
      <w:r>
        <w:rPr>
          <w:rFonts w:ascii="Times New Roman" w:hAnsi="Times New Roman"/>
          <w:b w:val="false"/>
          <w:i w:val="false"/>
          <w:color w:val="000000"/>
          <w:sz w:val="22"/>
        </w:rPr>
        <w:t> </w:t>
      </w:r>
      <w:r>
        <w:rPr>
          <w:rFonts w:ascii="Times New Roman" w:hAnsi="Times New Roman"/>
          <w:b w:val="false"/>
          <w:i/>
          <w:color w:val="000000"/>
          <w:sz w:val="22"/>
        </w:rPr>
        <w:t xml:space="preserve">Review process. </w:t>
      </w:r>
      <w:r>
        <w:rPr>
          <w:rFonts w:ascii="Times New Roman" w:hAnsi="Times New Roman"/>
          <w:b w:val="false"/>
          <w:i w:val="false"/>
          <w:color w:val="000000"/>
          <w:sz w:val="22"/>
        </w:rPr>
        <w:t>Generally, the SHPO will review fully completed Part 1 applications within 90 calendar days of receipt; however, this time frame is not mandatory. If the application is incomplete when submitted or if for any other reason SHPO must request additional information, the 90-day review period will restart when the requested information is received by the SHPO. The application may be rejected if any requested information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49.7(4)</w:t>
      </w:r>
      <w:r>
        <w:rPr>
          <w:rFonts w:ascii="Times New Roman" w:hAnsi="Times New Roman"/>
          <w:b w:val="false"/>
          <w:i w:val="false"/>
          <w:color w:val="000000"/>
          <w:sz w:val="22"/>
        </w:rPr>
        <w:t> </w:t>
      </w:r>
      <w:r>
        <w:rPr>
          <w:rFonts w:ascii="Times New Roman" w:hAnsi="Times New Roman"/>
          <w:b w:val="false"/>
          <w:i/>
          <w:color w:val="000000"/>
          <w:sz w:val="22"/>
        </w:rPr>
        <w:t xml:space="preserve">Response from SHPO. </w:t>
      </w:r>
      <w:r>
        <w:rPr>
          <w:rFonts w:ascii="Times New Roman" w:hAnsi="Times New Roman"/>
          <w:b w:val="false"/>
          <w:i w:val="false"/>
          <w:color w:val="000000"/>
          <w:sz w:val="22"/>
        </w:rPr>
        <w:t>Upon completion of the review, SHPO shall issue a determination regarding whether the property meets the requirements to be considered historically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49.7(5)</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 xml:space="preserve">A determination that the property meets the requirements to be considered historically significant shall be valid for five years from the issuance of the determination, provided that the property is maintained in a manner consistent with federal standards and that the fee simple owner of the property remains the same during such period. Changes to the property that are not approved by SHPO shall automatically invalidate the determination of historical significance and require a new Part 1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49.7(6)</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 applicant may amend an approved Part 1 application prior to submission of a Part 2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1.49.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