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261—49.4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(404A)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Small projects.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49.4(1)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If an applicant anticipates that the final qualified rehabilitation expenditures will exceed $750,000, the applicant shall not submit its application as a small project. The authority will not permit a small project applicant to submit additional or amended applications that would cause the final qualified rehabilitation expenditures to exceed $750,000.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49.4(2)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For applicants that receive credits from the small project allocation, the cumulative total award for multiple applications for a single property shall not exceed $750,000 in qualified rehabilitation expenditures plus any allowable cost overruns as described in subrule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49.11(1)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regardless of the final qualified rehabilitation expenditures.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49.4(3)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Small project Part 2B applications may be accepted on a continuous basis or may be accepted during one or more application periods; however, an application must be submitted no later than 12 months after receipt of approval of a Part 2 application. Small project Part 2B applications may be evaluated on a first-come, first-served basis, subject to the availability of tax credits.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0336D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6/10/26, effective 7/15/26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261.49.11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