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261—49.3</w:t>
      </w:r>
      <w:r>
        <w:rPr>
          <w:rFonts w:ascii="Times New Roman" w:hAnsi="Times New Roman"/>
          <w:b/>
          <w:i w:val="false"/>
          <w:color w:val="000000"/>
          <w:sz w:val="22"/>
        </w:rPr>
        <w:t xml:space="preserve">(404A) </w:t>
      </w:r>
      <w:r>
        <w:rPr>
          <w:rFonts w:ascii="Times New Roman" w:hAnsi="Times New Roman"/>
          <w:b/>
          <w:i w:val="false"/>
          <w:color w:val="000000"/>
          <w:sz w:val="22"/>
        </w:rPr>
        <w:t xml:space="preserve">Qualified rehabilitation expenditures. </w:t>
      </w:r>
      <w:r>
        <w:rPr>
          <w:rFonts w:ascii="Times New Roman" w:hAnsi="Times New Roman"/>
          <w:b w:val="false"/>
          <w:i w:val="false"/>
          <w:color w:val="000000"/>
          <w:sz w:val="22"/>
        </w:rPr>
        <w:t>Qualified rehabilitation expenditures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registered on or after January 1, 2023, expenditures incurred within five years prior to the date an agreement is entered into under Iowa Code section </w:t>
      </w:r>
      <w:hyperlink r:id="rId4">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Reasonable developer fees. The authority may establish limits on developer fees and may adjust those limits. Any adjustment made to the established limit will take effect 24 months after the adjustment is published on the authority’s website. Developer fees that are qualified rehabilitation expenditures and that meet the limits effective at the time the Part 2B application is submitted shall be deemed reasonable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