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261—49.17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(404A)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References.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references to the Internal Revenue Code and Code of Federal Regulations in this chapter are to the laws as in effect on July 15, 2026.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7/15/26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