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261—49.14</w:t>
      </w:r>
      <w:r>
        <w:rPr>
          <w:rFonts w:ascii="Times New Roman" w:hAnsi="Times New Roman"/>
          <w:b/>
          <w:i w:val="false"/>
          <w:color w:val="000000"/>
          <w:sz w:val="22"/>
        </w:rPr>
        <w:t xml:space="preserve">(404A)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49.14(1)</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 xml:space="preserve">In addition to the annual certification required by Iowa Code section </w:t>
      </w:r>
      <w:hyperlink r:id="rId4">
        <w:r>
          <w:rPr>
            <w:rStyle w:val="Hyperlink"/>
            <w:rFonts w:ascii="Times New Roman" w:hAnsi="Times New Roman"/>
            <w:b w:val="false"/>
            <w:i w:val="false"/>
            <w:color w:val="000000"/>
            <w:sz w:val="22"/>
          </w:rPr>
          <w:t>404A.3(4)</w:t>
        </w:r>
      </w:hyperlink>
      <w:r>
        <w:rPr>
          <w:rFonts w:ascii="Times New Roman" w:hAnsi="Times New Roman"/>
          <w:b w:val="false"/>
          <w:i w:val="false"/>
          <w:color w:val="000000"/>
          <w:sz w:val="22"/>
        </w:rPr>
        <w:t>, the eligible taxpayer shall submit information reasonably required by the authority to make reports to the authority’s board, the governor’s office, or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49.14(2)</w:t>
      </w:r>
      <w:r>
        <w:rPr>
          <w:rFonts w:ascii="Times New Roman" w:hAnsi="Times New Roman"/>
          <w:b w:val="false"/>
          <w:i w:val="false"/>
          <w:color w:val="000000"/>
          <w:sz w:val="22"/>
        </w:rPr>
        <w:t> </w:t>
      </w:r>
      <w:r>
        <w:rPr>
          <w:rFonts w:ascii="Times New Roman" w:hAnsi="Times New Roman"/>
          <w:b w:val="false"/>
          <w:i/>
          <w:color w:val="000000"/>
          <w:sz w:val="22"/>
        </w:rPr>
        <w:t xml:space="preserve">Declination. </w:t>
      </w:r>
      <w:r>
        <w:rPr>
          <w:rFonts w:ascii="Times New Roman" w:hAnsi="Times New Roman"/>
          <w:b w:val="false"/>
          <w:i w:val="false"/>
          <w:color w:val="000000"/>
          <w:sz w:val="22"/>
        </w:rPr>
        <w:t xml:space="preserve">An applicant shall notify the authority in writing of the applicant’s decision to irrevocably decline the tax credit. The authority will acknowledge that the tax credit has been irrevocably declined in writing. The tax credit shall be reallocated to the extent permitted by Iowa Code section </w:t>
      </w:r>
      <w:hyperlink r:id="rId5">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If the applicant wishes to apply for a tax credit on the same qualified rehabilitation project at a later date, the applicant must complete the application process as though the project is a new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The authority may revoke a tax credit pursuant to Iowa Code section </w:t>
      </w:r>
      <w:hyperlink r:id="rId6">
        <w:r>
          <w:rPr>
            <w:rStyle w:val="Hyperlink"/>
            <w:rFonts w:ascii="Times New Roman" w:hAnsi="Times New Roman"/>
            <w:b w:val="false"/>
            <w:i w:val="false"/>
            <w:color w:val="000000"/>
            <w:sz w:val="22"/>
          </w:rPr>
          <w:t>404A.3(4)</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04A.3.pdf" Type="http://schemas.openxmlformats.org/officeDocument/2006/relationships/hyperlink" Id="rId4"/>
    <Relationship TargetMode="External" Target="https://www.legis.iowa.gov/docs/ico/chapter/404A.4.pdf" Type="http://schemas.openxmlformats.org/officeDocument/2006/relationships/hyperlink" Id="rId5"/>
    <Relationship TargetMode="External" Target="https://www.legis.iowa.gov/docs/ico/chapter/404A.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