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261—49.12</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3 application. </w:t>
      </w:r>
      <w:r>
        <w:rPr>
          <w:rFonts w:ascii="Times New Roman" w:hAnsi="Times New Roman"/>
          <w:b w:val="false"/>
          <w:i w:val="false"/>
          <w:color w:val="000000"/>
          <w:sz w:val="22"/>
        </w:rPr>
        <w:t>The Part 3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49.12(1)</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applicant is an eligible taxpayer.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49.12(2)</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total expenditures for the project that identifies the final qualified rehabilitation expenditures and those expenditures that are not qualified, in the form prescribed by the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49.12(3)</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all funding sources, including government funding, used to finance the project in its entirety and documentation of all project funding sources. If the funding sources include those identified in Iowa Code section </w:t>
      </w:r>
      <w:hyperlink r:id="rId4">
        <w:r>
          <w:rPr>
            <w:rStyle w:val="Hyperlink"/>
            <w:rFonts w:ascii="Times New Roman" w:hAnsi="Times New Roman"/>
            <w:b w:val="false"/>
            <w:i w:val="false"/>
            <w:color w:val="000000"/>
            <w:sz w:val="22"/>
          </w:rPr>
          <w:t>404A.1(5)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authority will identify the impact of the exclusion of such expenditures from qualified rehabilitation expenditures on the approved tax credit amount. Any portion of qualified rehabilitation expenditures that are financed by the redevelopment tax credit administered pursuant to Iowa Code chapter </w:t>
      </w:r>
      <w:hyperlink r:id="rId5">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xml:space="preserve">, subchapter II, part 9, and the workforce housing tax incentive program administered pursuant to Iowa Code chapter </w:t>
      </w:r>
      <w:hyperlink r:id="rId6">
        <w:r>
          <w:rPr>
            <w:rStyle w:val="Hyperlink"/>
            <w:rFonts w:ascii="Times New Roman" w:hAnsi="Times New Roman"/>
            <w:b w:val="false"/>
            <w:i w:val="false"/>
            <w:color w:val="000000"/>
            <w:sz w:val="22"/>
          </w:rPr>
          <w:t>15</w:t>
        </w:r>
      </w:hyperlink>
      <w:r>
        <w:rPr>
          <w:rFonts w:ascii="Times New Roman" w:hAnsi="Times New Roman"/>
          <w:b w:val="false"/>
          <w:i w:val="false"/>
          <w:color w:val="000000"/>
          <w:sz w:val="22"/>
        </w:rPr>
        <w:t>, subchapter II, part 17, will also be excluded in determining the amount of expenditures eligible for a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49.12(4)</w:t>
      </w:r>
      <w:r>
        <w:rPr>
          <w:rFonts w:ascii="Times New Roman" w:hAnsi="Times New Roman"/>
          <w:b w:val="false"/>
          <w:i w:val="false"/>
          <w:color w:val="000000"/>
          <w:sz w:val="22"/>
        </w:rPr>
        <w:t> </w:t>
      </w:r>
      <w:r>
        <w:rPr>
          <w:rFonts w:ascii="Times New Roman" w:hAnsi="Times New Roman"/>
          <w:b w:val="false"/>
          <w:i w:val="false"/>
          <w:color w:val="000000"/>
          <w:sz w:val="22"/>
        </w:rPr>
        <w:t>CPA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taxpayer shall engage a certified public accountant authorized to practice in this state to conduct an examination of the project in accordance with the American Institute of Certified Public Accountants’ statements on standards for attestation engagements. The attestation applicable to this examination is SSAE No. 10 (as amended by SSAE No. 11, 12, and 14), AT section 101 and AT section 601 or other comparable attestation identified by the authority. Upon completion of the qualified rehabilitation project, the eligible taxpayer shall submit the examination to the authority along with a statement of the amount of final qualified rehabilitation expenditures and any other information deemed necessary by the authority in order to verify that all requirements of the agreement, Iowa Code chapter </w:t>
      </w:r>
      <w:hyperlink r:id="rId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used by the CPA to conduct the examination should allow the CPA to conclude that, in the CPA’s professional judgment, the qualified rehabilitation expenditures claimed are eligible pursuant to the agreement, Iowa Code chapter </w:t>
      </w:r>
      <w:hyperlink r:id="rId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1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all material respects. The documents reviewed by the CPA should be made available to the authority upon request. The applicant should generally be able to provide the requested documents within ten business days of a request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examination requirement is waived pursuant to Iowa Code section </w:t>
      </w:r>
      <w:hyperlink r:id="rId11">
        <w:r>
          <w:rPr>
            <w:rStyle w:val="Hyperlink"/>
            <w:rFonts w:ascii="Times New Roman" w:hAnsi="Times New Roman"/>
            <w:b w:val="false"/>
            <w:i w:val="false"/>
            <w:color w:val="000000"/>
            <w:sz w:val="22"/>
          </w:rPr>
          <w:t>404A.3(5)</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authority reserves the right to request any additional information necessary to verify the final qualified rehabilitation expenditures and, if deemed necessary by the authority, to require that an eligible taxpayer for whom the requirement was waived to engage a CPA to conduct an examination of the project pursuant to paragraphs </w:t>
      </w:r>
      <w:hyperlink r:id="rId12">
        <w:r>
          <w:rPr>
            <w:rStyle w:val="Hyperlink"/>
            <w:rFonts w:ascii="Times New Roman" w:hAnsi="Times New Roman"/>
            <w:b w:val="false"/>
            <w:i w:val="false"/>
            <w:color w:val="000000"/>
            <w:sz w:val="22"/>
          </w:rPr>
          <w:t>49.12(4)</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49.12(5)</w:t>
      </w:r>
      <w:r>
        <w:rPr>
          <w:rFonts w:ascii="Times New Roman" w:hAnsi="Times New Roman"/>
          <w:b w:val="false"/>
          <w:i w:val="false"/>
          <w:color w:val="000000"/>
          <w:sz w:val="22"/>
        </w:rPr>
        <w:t> </w:t>
      </w:r>
      <w:r>
        <w:rPr>
          <w:rFonts w:ascii="Times New Roman" w:hAnsi="Times New Roman"/>
          <w:b w:val="false"/>
          <w:i w:val="false"/>
          <w:color w:val="000000"/>
          <w:sz w:val="22"/>
        </w:rPr>
        <w:t xml:space="preserve">Photo keys and photos of the property after the rehabilitation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49.12(6)</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information deemed necessary by the authority in order to verify that all requirements of the agreement, Iowa Code chapter </w:t>
      </w:r>
      <w:hyperlink r:id="rId1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1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 or any other information the authority may require for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49.12(7)</w:t>
      </w:r>
      <w:r>
        <w:rPr>
          <w:rFonts w:ascii="Times New Roman" w:hAnsi="Times New Roman"/>
          <w:b w:val="false"/>
          <w:i w:val="false"/>
          <w:color w:val="000000"/>
          <w:sz w:val="22"/>
        </w:rPr>
        <w:t> </w:t>
      </w:r>
      <w:r>
        <w:rPr>
          <w:rFonts w:ascii="Times New Roman" w:hAnsi="Times New Roman"/>
          <w:b w:val="false"/>
          <w:i w:val="false"/>
          <w:color w:val="000000"/>
          <w:sz w:val="22"/>
        </w:rPr>
        <w:t>Election to receive either a refundable or a nonrefundable tax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0336D</w:t>
      </w:r>
      <w:r>
        <w:rPr>
          <w:rFonts w:ascii="Times New Roman" w:hAnsi="Times New Roman"/>
          <w:b w:val="false"/>
          <w:i w:val="false"/>
          <w:color w:val="000000"/>
          <w:sz w:val="16"/>
        </w:rPr>
        <w:t>, IAB 6/10/26, effective 7/15/26</w:t>
      </w:r>
      <w:r>
        <w:rPr>
          <w:rFonts w:ascii="Times New Roman" w:hAnsi="Times New Roman"/>
          <w:b w:val="false"/>
          <w:i w:val="false"/>
          <w:color w:val="000000"/>
          <w:sz w:val="16"/>
        </w:rPr>
        <w:t>]</w:t>
      </w:r>
    </w:p>
    <w:sectPr>
      <w:footerReference r:id="rId1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04A.1.pdf" Type="http://schemas.openxmlformats.org/officeDocument/2006/relationships/hyperlink" Id="rId4"/>
    <Relationship TargetMode="External" Target="https://www.legis.iowa.gov/docs/ico/chapter/15.pdf" Type="http://schemas.openxmlformats.org/officeDocument/2006/relationships/hyperlink" Id="rId5"/>
    <Relationship TargetMode="External" Target="https://www.legis.iowa.gov/docs/ico/chapter/15.pdf" Type="http://schemas.openxmlformats.org/officeDocument/2006/relationships/hyperlink" Id="rId6"/>
    <Relationship TargetMode="External" Target="https://www.legis.iowa.gov/docs/ico/chapter/404A.pdf" Type="http://schemas.openxmlformats.org/officeDocument/2006/relationships/hyperlink" Id="rId7"/>
    <Relationship TargetMode="External" Target="https://www.legis.iowa.gov/docs/ico/chapter/404A.pdf" Type="http://schemas.openxmlformats.org/officeDocument/2006/relationships/hyperlink" Id="rId8"/>
    <Relationship TargetMode="External" Target="https://www.legis.iowa.gov/docs/ico/chapter/404A.pdf" Type="http://schemas.openxmlformats.org/officeDocument/2006/relationships/hyperlink" Id="rId9"/>
    <Relationship TargetMode="External" Target="https://www.legis.iowa.gov/docs/ico/chapter/404A.pdf" Type="http://schemas.openxmlformats.org/officeDocument/2006/relationships/hyperlink" Id="rId10"/>
    <Relationship TargetMode="External" Target="https://www.legis.iowa.gov/docs/ico/chapter/404A.3.pdf" Type="http://schemas.openxmlformats.org/officeDocument/2006/relationships/hyperlink" Id="rId11"/>
    <Relationship TargetMode="External" Target="https://www.legis.iowa.gov/docs/iac/rule/261.49.12.pdf" Type="http://schemas.openxmlformats.org/officeDocument/2006/relationships/hyperlink" Id="rId12"/>
    <Relationship TargetMode="External" Target="https://www.legis.iowa.gov/docs/iac/rule/261.49.13.pdf" Type="http://schemas.openxmlformats.org/officeDocument/2006/relationships/hyperlink" Id="rId13"/>
    <Relationship TargetMode="External" Target="https://www.legis.iowa.gov/docs/ico/chapter/404A.pdf" Type="http://schemas.openxmlformats.org/officeDocument/2006/relationships/hyperlink" Id="rId14"/>
    <Relationship TargetMode="External" Target="https://www.legis.iowa.gov/docs/ico/chapter/404A.pdf" Type="http://schemas.openxmlformats.org/officeDocument/2006/relationships/hyperlink" Id="rId15"/>
    <Relationship Target="footer.xml" Type="http://schemas.openxmlformats.org/officeDocument/2006/relationships/footer" Id="rId1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