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261—49.11</w:t>
      </w:r>
      <w:r>
        <w:rPr>
          <w:rFonts w:ascii="Times New Roman" w:hAnsi="Times New Roman"/>
          <w:b/>
          <w:i w:val="false"/>
          <w:color w:val="000000"/>
          <w:sz w:val="22"/>
        </w:rPr>
        <w:t xml:space="preserve">(404A) </w:t>
      </w:r>
      <w:r>
        <w:rPr>
          <w:rFonts w:ascii="Times New Roman" w:hAnsi="Times New Roman"/>
          <w:b/>
          <w:i w:val="false"/>
          <w:color w:val="000000"/>
          <w:sz w:val="22"/>
        </w:rPr>
        <w:t xml:space="preserve">Agreement. </w:t>
      </w:r>
      <w:r>
        <w:rPr>
          <w:rFonts w:ascii="Times New Roman" w:hAnsi="Times New Roman"/>
          <w:b w:val="false"/>
          <w:i w:val="false"/>
          <w:color w:val="000000"/>
          <w:sz w:val="22"/>
        </w:rPr>
        <w:t xml:space="preserve">Upon successful registration of the project as described in subrule </w:t>
      </w:r>
      <w:hyperlink r:id="rId4">
        <w:r>
          <w:rPr>
            <w:rStyle w:val="Hyperlink"/>
            <w:rFonts w:ascii="Times New Roman" w:hAnsi="Times New Roman"/>
            <w:b w:val="false"/>
            <w:i w:val="false"/>
            <w:color w:val="000000"/>
            <w:sz w:val="22"/>
          </w:rPr>
          <w:t>49.10(5)</w:t>
        </w:r>
      </w:hyperlink>
      <w:r>
        <w:rPr>
          <w:rFonts w:ascii="Times New Roman" w:hAnsi="Times New Roman"/>
          <w:b w:val="false"/>
          <w:i w:val="false"/>
          <w:color w:val="000000"/>
          <w:sz w:val="22"/>
        </w:rPr>
        <w:t>, the eligible taxpayer shall have 90 calendar days or until the end of the fiscal year, whichever is less, to purchase or lease the property, if applicable, and enter into an agreement with the authority. The authority shall not enter an agreement until it receives proof that the eligible taxpayer is the actual fee simple owner or has a binding qualified long-term lease that meets the requirements of the federal rehabilitation credit. An eligible taxpayer shall not be eligible for tax credits unless the eligible taxpayer enters into an agreement with the authority and satisfies the terms and conditions that must be met to receive the tax credit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49.11(1)</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w:t>
      </w:r>
      <w:r>
        <w:rPr>
          <w:rFonts w:ascii="Times New Roman" w:hAnsi="Times New Roman"/>
          <w:b w:val="false"/>
          <w:i w:val="false"/>
          <w:color w:val="000000"/>
          <w:sz w:val="22"/>
        </w:rPr>
        <w:t xml:space="preserve">The agreement will contain all items required by Iowa Code section </w:t>
      </w:r>
      <w:hyperlink r:id="rId5">
        <w:r>
          <w:rPr>
            <w:rStyle w:val="Hyperlink"/>
            <w:rFonts w:ascii="Times New Roman" w:hAnsi="Times New Roman"/>
            <w:b w:val="false"/>
            <w:i w:val="false"/>
            <w:color w:val="000000"/>
            <w:sz w:val="22"/>
          </w:rPr>
          <w:t>404A.3(3)</w:t>
        </w:r>
      </w:hyperlink>
      <w:r>
        <w:rPr>
          <w:rFonts w:ascii="Times New Roman" w:hAnsi="Times New Roman"/>
          <w:b w:val="false"/>
          <w:i w:val="false"/>
          <w:color w:val="000000"/>
          <w:sz w:val="22"/>
        </w:rPr>
        <w:t xml:space="preserve"> and other terms, conditions, representations, and warranties as the authority may determine are necessary. The budget of the qualified rehabilitation project required by Iowa Code section </w:t>
      </w:r>
      <w:hyperlink r:id="rId6">
        <w:r>
          <w:rPr>
            <w:rStyle w:val="Hyperlink"/>
            <w:rFonts w:ascii="Times New Roman" w:hAnsi="Times New Roman"/>
            <w:b w:val="false"/>
            <w:i w:val="false"/>
            <w:color w:val="000000"/>
            <w:sz w:val="22"/>
          </w:rPr>
          <w:t>404A.3(3)</w:t>
        </w:r>
      </w:hyperlink>
      <w:r>
        <w:rPr>
          <w:rFonts w:ascii="Times New Roman" w:hAnsi="Times New Roman"/>
          <w:b w:val="false"/>
          <w:i/>
          <w:color w:val="000000"/>
          <w:sz w:val="22"/>
        </w:rPr>
        <w:t>“b”</w:t>
      </w:r>
      <w:r>
        <w:rPr>
          <w:rFonts w:ascii="Times New Roman" w:hAnsi="Times New Roman"/>
          <w:b w:val="false"/>
          <w:i w:val="false"/>
          <w:color w:val="000000"/>
          <w:sz w:val="22"/>
        </w:rPr>
        <w:t xml:space="preserve">(3) shall include all funding sources, including government funding, that will be used to fund the project in its entirety. The agreement may contain allowable cost overruns as described in Iowa Code section </w:t>
      </w:r>
      <w:hyperlink r:id="rId7">
        <w:r>
          <w:rPr>
            <w:rStyle w:val="Hyperlink"/>
            <w:rFonts w:ascii="Times New Roman" w:hAnsi="Times New Roman"/>
            <w:b w:val="false"/>
            <w:i w:val="false"/>
            <w:color w:val="000000"/>
            <w:sz w:val="22"/>
          </w:rPr>
          <w:t>404A.3(3)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49.11(2)</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 xml:space="preserve">The authority may for good cause amend an agreement. Any amendment approved by the authority shall be signed by both parties. Agreement amendments must comply with Iowa Code chapter </w:t>
      </w:r>
      <w:hyperlink r:id="rId8">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1.49.10.pdf" Type="http://schemas.openxmlformats.org/officeDocument/2006/relationships/hyperlink" Id="rId4"/>
    <Relationship TargetMode="External" Target="https://www.legis.iowa.gov/docs/ico/chapter/404A.3.pdf" Type="http://schemas.openxmlformats.org/officeDocument/2006/relationships/hyperlink" Id="rId5"/>
    <Relationship TargetMode="External" Target="https://www.legis.iowa.gov/docs/ico/chapter/404A.3.pdf" Type="http://schemas.openxmlformats.org/officeDocument/2006/relationships/hyperlink" Id="rId6"/>
    <Relationship TargetMode="External" Target="https://www.legis.iowa.gov/docs/ico/chapter/404A.3.pdf" Type="http://schemas.openxmlformats.org/officeDocument/2006/relationships/hyperlink" Id="rId7"/>
    <Relationship TargetMode="External" Target="https://www.legis.iowa.gov/docs/ico/chapter/404A.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