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261—49.10</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2B application. </w:t>
      </w:r>
      <w:r>
        <w:rPr>
          <w:rFonts w:ascii="Times New Roman" w:hAnsi="Times New Roman"/>
          <w:b w:val="false"/>
          <w:i w:val="false"/>
          <w:color w:val="000000"/>
          <w:sz w:val="22"/>
        </w:rPr>
        <w:t>If SHPO has approved Part 1 and Part 2 applications for a project, the applicant may submit a Part 2B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49.10(1)</w:t>
      </w:r>
      <w:r>
        <w:rPr>
          <w:rFonts w:ascii="Times New Roman" w:hAnsi="Times New Roman"/>
          <w:b w:val="false"/>
          <w:i w:val="false"/>
          <w:color w:val="000000"/>
          <w:sz w:val="22"/>
        </w:rPr>
        <w:t> </w:t>
      </w:r>
      <w:r>
        <w:rPr>
          <w:rFonts w:ascii="Times New Roman" w:hAnsi="Times New Roman"/>
          <w:b w:val="false"/>
          <w:i/>
          <w:color w:val="000000"/>
          <w:sz w:val="22"/>
        </w:rPr>
        <w:t xml:space="preserve">Submission period. </w:t>
      </w:r>
      <w:r>
        <w:rPr>
          <w:rFonts w:ascii="Times New Roman" w:hAnsi="Times New Roman"/>
          <w:b w:val="false"/>
          <w:i w:val="false"/>
          <w:color w:val="000000"/>
          <w:sz w:val="22"/>
        </w:rPr>
        <w:t xml:space="preserve">The authority will accept Part 2B applications for small projects as described in subrule </w:t>
      </w:r>
      <w:hyperlink r:id="rId4">
        <w:r>
          <w:rPr>
            <w:rStyle w:val="Hyperlink"/>
            <w:rFonts w:ascii="Times New Roman" w:hAnsi="Times New Roman"/>
            <w:b w:val="false"/>
            <w:i w:val="false"/>
            <w:color w:val="000000"/>
            <w:sz w:val="22"/>
          </w:rPr>
          <w:t>49.4(3)</w:t>
        </w:r>
      </w:hyperlink>
      <w:r>
        <w:rPr>
          <w:rFonts w:ascii="Times New Roman" w:hAnsi="Times New Roman"/>
          <w:b w:val="false"/>
          <w:i w:val="false"/>
          <w:color w:val="000000"/>
          <w:sz w:val="22"/>
        </w:rPr>
        <w:t>. Applications for large projects will be accepted only during application periods established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The Part 2B application must include the following information as well as any additional information the authority may request: any changes in ownership since submission of the Part 2 application; information about the current and intended future uses of the property; the total project cost; an estimated schedule of qualified rehabilitation expenditures; a schedule of all funding sources, including government funding, that will be used to fund the project in its entirety; and documentation of all project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49.10(3)</w:t>
      </w:r>
      <w:r>
        <w:rPr>
          <w:rFonts w:ascii="Times New Roman" w:hAnsi="Times New Roman"/>
          <w:b w:val="false"/>
          <w:i w:val="false"/>
          <w:color w:val="000000"/>
          <w:sz w:val="22"/>
        </w:rPr>
        <w:t> </w:t>
      </w:r>
      <w:r>
        <w:rPr>
          <w:rFonts w:ascii="Times New Roman" w:hAnsi="Times New Roman"/>
          <w:b w:val="false"/>
          <w:i/>
          <w:color w:val="000000"/>
          <w:sz w:val="22"/>
        </w:rPr>
        <w:t xml:space="preserve">Certification and release of information. </w:t>
      </w:r>
      <w:r>
        <w:rPr>
          <w:rFonts w:ascii="Times New Roman" w:hAnsi="Times New Roman"/>
          <w:b w:val="false"/>
          <w:i w:val="false"/>
          <w:color w:val="000000"/>
          <w:sz w:val="22"/>
        </w:rPr>
        <w:t xml:space="preserve">The applicant must identify and list all related persons and related entities. The applicant must release information requested by the authority regarding the applicant, related persons, and related entities. The applicant must also certify that all representations, warranties, documents, or statements made or furnished in connection with the Part 2B application are true and accurate.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may reject an application for registration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answer the questions and provide all requested information and documents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false or inaccurate information or documents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is not in good standing with any local, state, or federal taxing authority. This provision shall not apply to an applicant, related person, or related entity that has timely filed an extension to file a local, state or federal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is currently in default, has an uncured breach, or is otherwise not in compliance with any entity or instrumentality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has any overdue amounts owed to the state of Iowa, any agency of the state of Iowa, any other entity or instrumentality of the state of Iowa, or any person or entity that is eligible to submit claims to the state offset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authority determines that the applicant will not be able to provide representations, warranties, conditions, or other terms of an agreement that would be acceptable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is disclosed to the authority that would cause the authority to decline to enter into an agreement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ask the applicant to disclose information and documents about other entities affiliated with the applicant, a related person, or a related entity if the authority determines that the information regarding the applicant, related persons, and related entities does not adequately disclose to the authority the economic, ownership, and management structure and realities related to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reject an application in accordance with this subrule, the authority will consider factors including but not limited to the nature of the information disclosed and whether the applicant has a record of violations of law over a period of time that tends to show a consistent pattern.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49.10(4)</w:t>
      </w:r>
      <w:r>
        <w:rPr>
          <w:rFonts w:ascii="Times New Roman" w:hAnsi="Times New Roman"/>
          <w:b w:val="false"/>
          <w:i w:val="false"/>
          <w:color w:val="000000"/>
          <w:sz w:val="22"/>
        </w:rPr>
        <w:t> </w:t>
      </w:r>
      <w:r>
        <w:rPr>
          <w:rFonts w:ascii="Times New Roman" w:hAnsi="Times New Roman"/>
          <w:b w:val="false"/>
          <w:i/>
          <w:color w:val="000000"/>
          <w:sz w:val="22"/>
        </w:rPr>
        <w:t xml:space="preserve">Scoring process. </w:t>
      </w:r>
      <w:r>
        <w:rPr>
          <w:rFonts w:ascii="Times New Roman" w:hAnsi="Times New Roman"/>
          <w:b w:val="false"/>
          <w:i w:val="false"/>
          <w:color w:val="000000"/>
          <w:sz w:val="22"/>
        </w:rPr>
        <w:t>All completed applications will be reviewed and scored. Scoring of the application will consider readiness criteria,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Rehabilitation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Secured financing.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Rehabilitation timeline.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Code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49.10(5)</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reviewing and scoring all applications submitted in an application period, the authority may register qualified rehabilitation projects based on the estimated qualified rehabilitation costs identified in the Part 2B applications. Preference will be given to the projects with the highest registration score based on the criteria in subrule </w:t>
      </w:r>
      <w:hyperlink r:id="rId5">
        <w:r>
          <w:rPr>
            <w:rStyle w:val="Hyperlink"/>
            <w:rFonts w:ascii="Times New Roman" w:hAnsi="Times New Roman"/>
            <w:b w:val="false"/>
            <w:i w:val="false"/>
            <w:color w:val="000000"/>
            <w:sz w:val="22"/>
          </w:rPr>
          <w:t>49.10(4)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make its best effort to notify applicants of registration decisions within 60 calendar days after the close of the application period. Registration notices shall include the amount of the applicant’s tentative tax credit award determined by the authority along with a notice that the amount is a preliminary, nonbinding determination only. An applicant whose project is not registered may submit future applications for future fiscal year tax credit allocations.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not register more projects in a given fiscal year for tentative awards than there are tax credits available for that fiscal year under Iowa Code section </w:t>
      </w:r>
      <w:hyperlink r:id="rId6">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xml:space="preserve">. Tax credits may be reallocated or awarded in future fiscal years to the extent permitted by Iowa Code section </w:t>
      </w:r>
      <w:hyperlink r:id="rId7">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project registered after July 1, 2025, qualifies for tax credits exceeding $10 million or more, the authority may award tax credits from the allocation for the following fiscal year, in an amount not to exceed 20 percent of the maximum aggregate tax credit award limit in Iowa Code section </w:t>
      </w:r>
      <w:hyperlink r:id="rId8">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1.49.4.pdf" Type="http://schemas.openxmlformats.org/officeDocument/2006/relationships/hyperlink" Id="rId4"/>
    <Relationship TargetMode="External" Target="https://www.legis.iowa.gov/docs/iac/rule/261.49.10.pdf" Type="http://schemas.openxmlformats.org/officeDocument/2006/relationships/hyperlink" Id="rId5"/>
    <Relationship TargetMode="External" Target="https://www.legis.iowa.gov/docs/ico/chapter/404A.4.pdf" Type="http://schemas.openxmlformats.org/officeDocument/2006/relationships/hyperlink" Id="rId6"/>
    <Relationship TargetMode="External" Target="https://www.legis.iowa.gov/docs/ico/chapter/404A.4.pdf" Type="http://schemas.openxmlformats.org/officeDocument/2006/relationships/hyperlink" Id="rId7"/>
    <Relationship TargetMode="External" Target="https://www.legis.iowa.gov/docs/ico/chapter/404A.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