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261—49.1</w:t>
      </w:r>
      <w:r>
        <w:rPr>
          <w:rFonts w:ascii="Times New Roman" w:hAnsi="Times New Roman"/>
          <w:b/>
          <w:i w:val="false"/>
          <w:color w:val="000000"/>
          <w:sz w:val="22"/>
        </w:rPr>
        <w:t xml:space="preserve">(404A)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purposes of this chapter, unless the context otherwise requires: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“Agreement”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 agreement between an eligible taxpayer and the authority entered into pursuant to Iowa Code section </w:t>
      </w:r>
      <w:hyperlink r:id="rId4">
        <w:r>
          <w:rPr>
            <w:rStyle w:val="Hyperlink"/>
            <w:rFonts w:ascii="Times New Roman" w:hAnsi="Times New Roman"/>
            <w:b w:val="false"/>
            <w:i w:val="false"/>
            <w:color w:val="000000"/>
            <w:sz w:val="22"/>
          </w:rPr>
          <w:t>404A.3(3)</w:t>
        </w:r>
      </w:hyperlink>
      <w:r>
        <w:rPr>
          <w:rFonts w:ascii="Times New Roman" w:hAnsi="Times New Roman"/>
          <w:b w:val="false"/>
          <w:i w:val="false"/>
          <w:color w:val="000000"/>
          <w:sz w:val="22"/>
        </w:rPr>
        <w:t xml:space="preserve"> and rule </w:t>
      </w:r>
      <w:hyperlink r:id="rId5">
        <w:r>
          <w:rPr>
            <w:rStyle w:val="Hyperlink"/>
            <w:rFonts w:ascii="Times New Roman" w:hAnsi="Times New Roman"/>
            <w:b w:val="false"/>
            <w:i w:val="false"/>
            <w:color w:val="000000"/>
            <w:sz w:val="22"/>
          </w:rPr>
          <w:t>261—49.11</w:t>
        </w:r>
      </w:hyperlink>
      <w:r>
        <w:rPr>
          <w:rFonts w:ascii="Times New Roman" w:hAnsi="Times New Roman"/>
          <w:b w:val="false"/>
          <w:i w:val="false"/>
          <w:color w:val="000000"/>
          <w:sz w:val="22"/>
        </w:rPr>
        <w:t>(404A).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“Applicant”</w:t>
      </w:r>
      <w:r>
        <w:rPr>
          <w:rFonts w:ascii="Times New Roman" w:hAnsi="Times New Roman"/>
          <w:b w:val="false"/>
          <w:i w:val="false"/>
          <w:color w:val="000000"/>
          <w:sz w:val="22"/>
        </w:rPr>
        <w:t> </w:t>
      </w:r>
      <w:r>
        <w:rPr>
          <w:rFonts w:ascii="Times New Roman" w:hAnsi="Times New Roman"/>
          <w:b w:val="false"/>
          <w:i w:val="false"/>
          <w:color w:val="000000"/>
          <w:sz w:val="22"/>
        </w:rPr>
        <w:t>means an eligible taxpayer that has submitted an application pursuant to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“Authority”</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economic development authority established pursuant to Iowa Code section </w:t>
      </w:r>
      <w:hyperlink r:id="rId6">
        <w:r>
          <w:rPr>
            <w:rStyle w:val="Hyperlink"/>
            <w:rFonts w:ascii="Times New Roman" w:hAnsi="Times New Roman"/>
            <w:b w:val="false"/>
            <w:i w:val="false"/>
            <w:color w:val="000000"/>
            <w:sz w:val="22"/>
          </w:rPr>
          <w:t>15.105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“Authority’s website”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information and related content found at </w:t>
      </w:r>
      <w:hyperlink r:id="rId7">
        <w:r>
          <w:rPr>
            <w:rStyle w:val="Hyperlink"/>
            <w:rFonts w:ascii="Times New Roman" w:hAnsi="Times New Roman"/>
            <w:b w:val="false"/>
            <w:i w:val="false"/>
            <w:color w:val="000000"/>
            <w:sz w:val="22"/>
            <w:u w:val="single"/>
          </w:rPr>
          <w:t>opportunityiowa.gov</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“Barn”</w:t>
      </w:r>
      <w:r>
        <w:rPr>
          <w:rFonts w:ascii="Times New Roman" w:hAnsi="Times New Roman"/>
          <w:b w:val="false"/>
          <w:i w:val="false"/>
          <w:color w:val="000000"/>
          <w:sz w:val="22"/>
        </w:rPr>
        <w:t> </w:t>
      </w:r>
      <w:r>
        <w:rPr>
          <w:rFonts w:ascii="Times New Roman" w:hAnsi="Times New Roman"/>
          <w:b w:val="false"/>
          <w:i w:val="false"/>
          <w:color w:val="000000"/>
          <w:sz w:val="22"/>
        </w:rPr>
        <w:t>means an agricultural building or structure, in whatever shape or design, that was originally used for the storage of farm products or feed or for the housing of farm animals, poultry, or farm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“Eligible taxpayer”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8">
        <w:r>
          <w:rPr>
            <w:rStyle w:val="Hyperlink"/>
            <w:rFonts w:ascii="Times New Roman" w:hAnsi="Times New Roman"/>
            <w:b w:val="false"/>
            <w:i w:val="false"/>
            <w:color w:val="000000"/>
            <w:sz w:val="22"/>
          </w:rPr>
          <w:t>404A.1(2)</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“Federal rehabilitation credit”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tax credit allowed under </w:t>
      </w:r>
      <w:r>
        <w:rPr>
          <w:rFonts w:ascii="Times New Roman" w:hAnsi="Times New Roman"/>
          <w:b w:val="false"/>
          <w:i w:val="false"/>
          <w:color w:val="000000"/>
          <w:sz w:val="22"/>
        </w:rPr>
        <w:t>Section 47 of the Internal Revenue Code</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“Federal standards”</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U.S. Secretary of the Interior’s standards for rehabilitation set forth in </w:t>
      </w:r>
      <w:r>
        <w:rPr>
          <w:rFonts w:ascii="Times New Roman" w:hAnsi="Times New Roman"/>
          <w:b w:val="false"/>
          <w:i w:val="false"/>
          <w:color w:val="000000"/>
          <w:sz w:val="22"/>
        </w:rPr>
        <w:t>36 CFR §67.7</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“Government funding”</w:t>
      </w:r>
      <w:r>
        <w:rPr>
          <w:rFonts w:ascii="Times New Roman" w:hAnsi="Times New Roman"/>
          <w:b w:val="false"/>
          <w:i w:val="false"/>
          <w:color w:val="000000"/>
          <w:sz w:val="22"/>
        </w:rPr>
        <w:t> </w:t>
      </w:r>
      <w:r>
        <w:rPr>
          <w:rFonts w:ascii="Times New Roman" w:hAnsi="Times New Roman"/>
          <w:b w:val="false"/>
          <w:i w:val="false"/>
          <w:color w:val="000000"/>
          <w:sz w:val="22"/>
        </w:rPr>
        <w:t>includes but is not limited to funding the applicant received from a federal, state, or local government; funding from a third party or a series of third parties where those funds originally came from a government or were derived from a government payment, grant, loan, tax credit or rebate or other government incentive; or funding from a third party or a series of third parties where those funds are derived from, secured by, or otherwise received in anticipation of a government payment, grant, loan, tax credit or rebate or other government incentive.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“Historically significant”</w:t>
      </w:r>
      <w:r>
        <w:rPr>
          <w:rFonts w:ascii="Times New Roman" w:hAnsi="Times New Roman"/>
          <w:b w:val="false"/>
          <w:i w:val="false"/>
          <w:color w:val="000000"/>
          <w:sz w:val="22"/>
        </w:rPr>
        <w:t> </w:t>
      </w:r>
      <w:r>
        <w:rPr>
          <w:rFonts w:ascii="Times New Roman" w:hAnsi="Times New Roman"/>
          <w:b w:val="false"/>
          <w:i w:val="false"/>
          <w:color w:val="000000"/>
          <w:sz w:val="22"/>
        </w:rPr>
        <w:t>means a property that is at least one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Property listed on the National Register of Historic Places or eligible for such listing.</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Property designated as contributing to a district listed in the National Register of Historic Places or eligible for such designation.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Property or district designated a local landmark by a city or county ordinance.</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 barn constructed prior to 1937.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“Large project”</w:t>
      </w:r>
      <w:r>
        <w:rPr>
          <w:rFonts w:ascii="Times New Roman" w:hAnsi="Times New Roman"/>
          <w:b w:val="false"/>
          <w:i w:val="false"/>
          <w:color w:val="000000"/>
          <w:sz w:val="22"/>
        </w:rPr>
        <w:t> </w:t>
      </w:r>
      <w:r>
        <w:rPr>
          <w:rFonts w:ascii="Times New Roman" w:hAnsi="Times New Roman"/>
          <w:b w:val="false"/>
          <w:i w:val="false"/>
          <w:color w:val="000000"/>
          <w:sz w:val="22"/>
        </w:rPr>
        <w:t>means a qualified rehabilitation project with estimated final qualified rehabilitation expenditures of more than $750,000.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“National Register of Historic Places”</w:t>
      </w:r>
      <w:r>
        <w:rPr>
          <w:rFonts w:ascii="Times New Roman" w:hAnsi="Times New Roman"/>
          <w:b w:val="false"/>
          <w:i w:val="false"/>
          <w:color w:val="000000"/>
          <w:sz w:val="22"/>
        </w:rPr>
        <w:t> </w:t>
      </w:r>
      <w:r>
        <w:rPr>
          <w:rFonts w:ascii="Times New Roman" w:hAnsi="Times New Roman"/>
          <w:b w:val="false"/>
          <w:i w:val="false"/>
          <w:color w:val="000000"/>
          <w:sz w:val="22"/>
        </w:rPr>
        <w:t>means the same as described in 36 CFR §60.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“Nonprofit organization”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9">
        <w:r>
          <w:rPr>
            <w:rStyle w:val="Hyperlink"/>
            <w:rFonts w:ascii="Times New Roman" w:hAnsi="Times New Roman"/>
            <w:b w:val="false"/>
            <w:i w:val="false"/>
            <w:color w:val="000000"/>
            <w:sz w:val="22"/>
          </w:rPr>
          <w:t>404A.1(3)</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“Part 1 application”</w:t>
      </w:r>
      <w:r>
        <w:rPr>
          <w:rFonts w:ascii="Times New Roman" w:hAnsi="Times New Roman"/>
          <w:b w:val="false"/>
          <w:i w:val="false"/>
          <w:color w:val="000000"/>
          <w:sz w:val="22"/>
        </w:rPr>
        <w:t> </w:t>
      </w:r>
      <w:r>
        <w:rPr>
          <w:rFonts w:ascii="Times New Roman" w:hAnsi="Times New Roman"/>
          <w:b w:val="false"/>
          <w:i w:val="false"/>
          <w:color w:val="000000"/>
          <w:sz w:val="22"/>
        </w:rPr>
        <w:t>means an application submitted to SHPO to determine whether a property is historically significant.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“Part 2 application”</w:t>
      </w:r>
      <w:r>
        <w:rPr>
          <w:rFonts w:ascii="Times New Roman" w:hAnsi="Times New Roman"/>
          <w:b w:val="false"/>
          <w:i w:val="false"/>
          <w:color w:val="000000"/>
          <w:sz w:val="22"/>
        </w:rPr>
        <w:t> </w:t>
      </w:r>
      <w:r>
        <w:rPr>
          <w:rFonts w:ascii="Times New Roman" w:hAnsi="Times New Roman"/>
          <w:b w:val="false"/>
          <w:i w:val="false"/>
          <w:color w:val="000000"/>
          <w:sz w:val="22"/>
        </w:rPr>
        <w:t>means an application submitted to SHPO to determine whether the proposed rehabilitation work meets the federal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“Part 2B application”</w:t>
      </w:r>
      <w:r>
        <w:rPr>
          <w:rFonts w:ascii="Times New Roman" w:hAnsi="Times New Roman"/>
          <w:b w:val="false"/>
          <w:i w:val="false"/>
          <w:color w:val="000000"/>
          <w:sz w:val="22"/>
        </w:rPr>
        <w:t> </w:t>
      </w:r>
      <w:r>
        <w:rPr>
          <w:rFonts w:ascii="Times New Roman" w:hAnsi="Times New Roman"/>
          <w:b w:val="false"/>
          <w:i w:val="false"/>
          <w:color w:val="000000"/>
          <w:sz w:val="22"/>
        </w:rPr>
        <w:t>means an application submitted to the authority, after a Part 2 application has been approved by SHPO but before a Part 3 application is submitted, to determine whether a project should be registered for a tentative tax credit award.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“Part 3 application”</w:t>
      </w:r>
      <w:r>
        <w:rPr>
          <w:rFonts w:ascii="Times New Roman" w:hAnsi="Times New Roman"/>
          <w:b w:val="false"/>
          <w:i w:val="false"/>
          <w:color w:val="000000"/>
          <w:sz w:val="22"/>
        </w:rPr>
        <w:t> </w:t>
      </w:r>
      <w:r>
        <w:rPr>
          <w:rFonts w:ascii="Times New Roman" w:hAnsi="Times New Roman"/>
          <w:b w:val="false"/>
          <w:i w:val="false"/>
          <w:color w:val="000000"/>
          <w:sz w:val="22"/>
        </w:rPr>
        <w:t>means an application submitted to the authority, after a Part 2B application is approved, to determine whether a project has complied with the terms of an agreement as well as with applicable laws, rules and regulations, including federal standards, and is therefore eligible for issuance of a tax credit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“Placed in service”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placed in a condition or state of readiness and availability for a specifically assigned function.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“Program”</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historic preservation tax credit program established pursuant to Iowa Code chapter </w:t>
      </w:r>
      <w:hyperlink r:id="rId10">
        <w:r>
          <w:rPr>
            <w:rStyle w:val="Hyperlink"/>
            <w:rFonts w:ascii="Times New Roman" w:hAnsi="Times New Roman"/>
            <w:b w:val="false"/>
            <w:i w:val="false"/>
            <w:color w:val="000000"/>
            <w:sz w:val="22"/>
          </w:rPr>
          <w:t>404A</w:t>
        </w:r>
      </w:hyperlink>
      <w:r>
        <w:rPr>
          <w:rFonts w:ascii="Times New Roman" w:hAnsi="Times New Roman"/>
          <w:b w:val="false"/>
          <w:i w:val="false"/>
          <w:color w:val="000000"/>
          <w:sz w:val="22"/>
        </w:rPr>
        <w:t xml:space="preserve"> and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“Property”</w:t>
      </w:r>
      <w:r>
        <w:rPr>
          <w:rFonts w:ascii="Times New Roman" w:hAnsi="Times New Roman"/>
          <w:b w:val="false"/>
          <w:i w:val="false"/>
          <w:color w:val="000000"/>
          <w:sz w:val="22"/>
        </w:rPr>
        <w:t> </w:t>
      </w:r>
      <w:r>
        <w:rPr>
          <w:rFonts w:ascii="Times New Roman" w:hAnsi="Times New Roman"/>
          <w:b w:val="false"/>
          <w:i w:val="false"/>
          <w:color w:val="000000"/>
          <w:sz w:val="22"/>
        </w:rPr>
        <w:t>means the real property that is the subject of a “qualified rehabilitation project” or that is the subject of an application to become a qualified rehabilitation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“Qualified rehabilitation expenditures”</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“QREs”</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expenditures that meet the definition of “qualified rehabilitation expenditures” in </w:t>
      </w:r>
      <w:r>
        <w:rPr>
          <w:rFonts w:ascii="Times New Roman" w:hAnsi="Times New Roman"/>
          <w:b w:val="false"/>
          <w:i w:val="false"/>
          <w:color w:val="000000"/>
          <w:sz w:val="22"/>
        </w:rPr>
        <w:t>Section 47 of the Internal Revenue Code</w:t>
      </w:r>
      <w:r>
        <w:rPr>
          <w:rFonts w:ascii="Times New Roman" w:hAnsi="Times New Roman"/>
          <w:b w:val="false"/>
          <w:i w:val="false"/>
          <w:color w:val="000000"/>
          <w:sz w:val="22"/>
        </w:rPr>
        <w:t xml:space="preserve"> and as described in rule </w:t>
      </w:r>
      <w:hyperlink r:id="rId11">
        <w:r>
          <w:rPr>
            <w:rStyle w:val="Hyperlink"/>
            <w:rFonts w:ascii="Times New Roman" w:hAnsi="Times New Roman"/>
            <w:b w:val="false"/>
            <w:i w:val="false"/>
            <w:color w:val="000000"/>
            <w:sz w:val="22"/>
          </w:rPr>
          <w:t>261—49.3</w:t>
        </w:r>
      </w:hyperlink>
      <w:r>
        <w:rPr>
          <w:rFonts w:ascii="Times New Roman" w:hAnsi="Times New Roman"/>
          <w:b w:val="false"/>
          <w:i w:val="false"/>
          <w:color w:val="000000"/>
          <w:sz w:val="22"/>
        </w:rPr>
        <w:t>(404A).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“Qualified rehabilitation project”</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“project”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12">
        <w:r>
          <w:rPr>
            <w:rStyle w:val="Hyperlink"/>
            <w:rFonts w:ascii="Times New Roman" w:hAnsi="Times New Roman"/>
            <w:b w:val="false"/>
            <w:i w:val="false"/>
            <w:color w:val="000000"/>
            <w:sz w:val="22"/>
          </w:rPr>
          <w:t>404A.1(6)</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“Related entities”</w:t>
      </w:r>
      <w:r>
        <w:rPr>
          <w:rFonts w:ascii="Times New Roman" w:hAnsi="Times New Roman"/>
          <w:b w:val="false"/>
          <w:i w:val="false"/>
          <w:color w:val="000000"/>
          <w:sz w:val="22"/>
        </w:rPr>
        <w:t> </w:t>
      </w:r>
      <w:r>
        <w:rPr>
          <w:rFonts w:ascii="Times New Roman" w:hAnsi="Times New Roman"/>
          <w:b w:val="false"/>
          <w:i w:val="false"/>
          <w:color w:val="000000"/>
          <w:sz w:val="22"/>
        </w:rPr>
        <w:t>means any entity owned or controlled in whole or in part by the applicant; any person or entity that owns or controls in whole or in part the applicant; or any entity owned or controlled in whole or in part by any current or prospective officer, principal, director, or owner of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“Related persons”</w:t>
      </w:r>
      <w:r>
        <w:rPr>
          <w:rFonts w:ascii="Times New Roman" w:hAnsi="Times New Roman"/>
          <w:b w:val="false"/>
          <w:i w:val="false"/>
          <w:color w:val="000000"/>
          <w:sz w:val="22"/>
        </w:rPr>
        <w:t> </w:t>
      </w:r>
      <w:r>
        <w:rPr>
          <w:rFonts w:ascii="Times New Roman" w:hAnsi="Times New Roman"/>
          <w:b w:val="false"/>
          <w:i w:val="false"/>
          <w:color w:val="000000"/>
          <w:sz w:val="22"/>
        </w:rPr>
        <w:t>means any current or prospective officer, principal, director, member, shareholder, partner, or owner of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“SHPO”</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state historic preservation office established within the authority and subject to the direction of the state historic preservation officer appointed pursuant to Iowa Code section </w:t>
      </w:r>
      <w:hyperlink r:id="rId13">
        <w:r>
          <w:rPr>
            <w:rStyle w:val="Hyperlink"/>
            <w:rFonts w:ascii="Times New Roman" w:hAnsi="Times New Roman"/>
            <w:b w:val="false"/>
            <w:i w:val="false"/>
            <w:color w:val="000000"/>
            <w:sz w:val="22"/>
          </w:rPr>
          <w:t>15.121</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“Small project”</w:t>
      </w:r>
      <w:r>
        <w:rPr>
          <w:rFonts w:ascii="Times New Roman" w:hAnsi="Times New Roman"/>
          <w:b w:val="false"/>
          <w:i w:val="false"/>
          <w:color w:val="000000"/>
          <w:sz w:val="22"/>
        </w:rPr>
        <w:t> </w:t>
      </w:r>
      <w:r>
        <w:rPr>
          <w:rFonts w:ascii="Times New Roman" w:hAnsi="Times New Roman"/>
          <w:b w:val="false"/>
          <w:i w:val="false"/>
          <w:color w:val="000000"/>
          <w:sz w:val="22"/>
        </w:rPr>
        <w:t>means a qualified rehabilitation project with estimated final qualified rehabilitation expenditures of $750,000 or 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“Tax credit”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historic preservation tax credit established in Iowa Code chapter </w:t>
      </w:r>
      <w:hyperlink r:id="rId14">
        <w:r>
          <w:rPr>
            <w:rStyle w:val="Hyperlink"/>
            <w:rFonts w:ascii="Times New Roman" w:hAnsi="Times New Roman"/>
            <w:b w:val="false"/>
            <w:i w:val="false"/>
            <w:color w:val="000000"/>
            <w:sz w:val="22"/>
          </w:rPr>
          <w:t>404A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0336D</w:t>
      </w:r>
      <w:r>
        <w:rPr>
          <w:rFonts w:ascii="Times New Roman" w:hAnsi="Times New Roman"/>
          <w:b w:val="false"/>
          <w:i w:val="false"/>
          <w:color w:val="000000"/>
          <w:sz w:val="16"/>
        </w:rPr>
        <w:t>, IAB 6/10/26, effective 7/15/26</w:t>
      </w:r>
      <w:r>
        <w:rPr>
          <w:rFonts w:ascii="Times New Roman" w:hAnsi="Times New Roman"/>
          <w:b w:val="false"/>
          <w:i w:val="false"/>
          <w:color w:val="000000"/>
          <w:sz w:val="16"/>
        </w:rPr>
        <w:t>]</w:t>
      </w:r>
    </w:p>
    <w:sectPr>
      <w:footerReference r:id="rId15"/>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404A.3.pdf" Type="http://schemas.openxmlformats.org/officeDocument/2006/relationships/hyperlink" Id="rId4"/>
    <Relationship TargetMode="External" Target="https://www.legis.iowa.gov/docs/iac/rule/261.49.11.pdf" Type="http://schemas.openxmlformats.org/officeDocument/2006/relationships/hyperlink" Id="rId5"/>
    <Relationship TargetMode="External" Target="https://www.legis.iowa.gov/docs/ico/chapter/15.105.pdf" Type="http://schemas.openxmlformats.org/officeDocument/2006/relationships/hyperlink" Id="rId6"/>
    <Relationship TargetMode="External" Target="http://opportunityiowa.gov" Type="http://schemas.openxmlformats.org/officeDocument/2006/relationships/hyperlink" Id="rId7"/>
    <Relationship TargetMode="External" Target="https://www.legis.iowa.gov/docs/ico/chapter/404A.1.pdf" Type="http://schemas.openxmlformats.org/officeDocument/2006/relationships/hyperlink" Id="rId8"/>
    <Relationship TargetMode="External" Target="https://www.legis.iowa.gov/docs/ico/chapter/404A.1.pdf" Type="http://schemas.openxmlformats.org/officeDocument/2006/relationships/hyperlink" Id="rId9"/>
    <Relationship TargetMode="External" Target="https://www.legis.iowa.gov/docs/ico/chapter/404A.pdf" Type="http://schemas.openxmlformats.org/officeDocument/2006/relationships/hyperlink" Id="rId10"/>
    <Relationship TargetMode="External" Target="https://www.legis.iowa.gov/docs/iac/rule/261.49.3.pdf" Type="http://schemas.openxmlformats.org/officeDocument/2006/relationships/hyperlink" Id="rId11"/>
    <Relationship TargetMode="External" Target="https://www.legis.iowa.gov/docs/ico/chapter/404A.1.pdf" Type="http://schemas.openxmlformats.org/officeDocument/2006/relationships/hyperlink" Id="rId12"/>
    <Relationship TargetMode="External" Target="https://www.legis.iowa.gov/docs/ico/chapter/15.121.pdf" Type="http://schemas.openxmlformats.org/officeDocument/2006/relationships/hyperlink" Id="rId13"/>
    <Relationship TargetMode="External" Target="https://www.legis.iowa.gov/docs/ico/chapter/404A.pdf" Type="http://schemas.openxmlformats.org/officeDocument/2006/relationships/hyperlink" Id="rId14"/>
    <Relationship Target="footer.xml" Type="http://schemas.openxmlformats.org/officeDocument/2006/relationships/footer" Id="rId15"/>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