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201—2506.33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Informal settlement.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or the respondent may request that an informal conference be held to determine whether the noncompliance matter can be resolved in a just manner in furtherance of the public interest. Neither the director nor respondent is required to use this informal procedure. If the director and respondent agree to negotiate a settlement, the various points of the settlement, including a stipulated statement of facts, shall be set forth in writing and shall be binding on both parties.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