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201—2506.32</w:t>
      </w:r>
      <w:r>
        <w:rPr>
          <w:rFonts w:ascii="Times New Roman" w:hAnsi="Times New Roman"/>
          <w:b/>
          <w:i w:val="false"/>
          <w:color w:val="000000"/>
          <w:sz w:val="22"/>
        </w:rPr>
        <w:t xml:space="preserve">(17A,356) </w:t>
      </w:r>
      <w:r>
        <w:rPr>
          <w:rFonts w:ascii="Times New Roman" w:hAnsi="Times New Roman"/>
          <w:b/>
          <w:i w:val="false"/>
          <w:color w:val="000000"/>
          <w:sz w:val="22"/>
        </w:rPr>
        <w:t xml:space="preserve">Notice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w:t>
      </w:r>
      <w:r>
        <w:rPr>
          <w:rFonts w:ascii="Times New Roman" w:hAnsi="Times New Roman"/>
          <w:b w:val="false"/>
          <w:i w:val="false"/>
          <w:color w:val="000000"/>
          <w:sz w:val="22"/>
        </w:rPr>
        <w:t> </w:t>
      </w:r>
      <w:r>
        <w:rPr>
          <w:rFonts w:ascii="Times New Roman" w:hAnsi="Times New Roman"/>
          <w:b w:val="false"/>
          <w:i w:val="false"/>
          <w:color w:val="000000"/>
          <w:sz w:val="22"/>
        </w:rPr>
        <w:t>When the director or director’s designee of the department of corrections determines that an agency or facility accredited by the department is not in compliance with state standards, or when an order of closure is issued, the appropriate administrator shall be notified of the noncompliance status.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statute(s) and any rules(s) alleged to have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deficiencies cited.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period allowed for submission of an acceptable plan of compliance if submission of a plan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of the facility or agency may submit the plan of compliance within the appropriate time limitation or may request a hearing pursuant to rule </w:t>
      </w:r>
      <w:hyperlink r:id="rId4">
        <w:r>
          <w:rPr>
            <w:rStyle w:val="Hyperlink"/>
            <w:rFonts w:ascii="Times New Roman" w:hAnsi="Times New Roman"/>
            <w:b w:val="false"/>
            <w:i w:val="false"/>
            <w:color w:val="000000"/>
            <w:sz w:val="22"/>
          </w:rPr>
          <w:t>201—2506.34</w:t>
        </w:r>
      </w:hyperlink>
      <w:r>
        <w:rPr>
          <w:rFonts w:ascii="Times New Roman" w:hAnsi="Times New Roman"/>
          <w:b w:val="false"/>
          <w:i w:val="false"/>
          <w:color w:val="000000"/>
          <w:sz w:val="22"/>
        </w:rPr>
        <w:t>(17A,356).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01.2506.3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