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811—10.6</w:t>
      </w:r>
      <w:r>
        <w:rPr>
          <w:rFonts w:ascii="Times New Roman" w:hAnsi="Times New Roman"/>
          <w:b/>
          <w:i w:val="false"/>
          <w:color w:val="000000"/>
          <w:sz w:val="22"/>
        </w:rPr>
        <w:t xml:space="preserve">(17A,169,272C) </w:t>
      </w:r>
      <w:r>
        <w:rPr>
          <w:rFonts w:ascii="Times New Roman" w:hAnsi="Times New Roman"/>
          <w:b/>
          <w:i w:val="false"/>
          <w:color w:val="000000"/>
          <w:sz w:val="22"/>
        </w:rPr>
        <w:t xml:space="preserve">Grounds for discipline and principles of veterinary medical ethics. </w:t>
      </w:r>
      <w:r>
        <w:rPr>
          <w:rFonts w:ascii="Times New Roman" w:hAnsi="Times New Roman"/>
          <w:b w:val="false"/>
          <w:i w:val="false"/>
          <w:color w:val="000000"/>
          <w:sz w:val="22"/>
        </w:rPr>
        <w:t xml:space="preserve">The provisions of Iowa Code sections </w:t>
      </w:r>
      <w:hyperlink r:id="rId4">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 xml:space="preserve"> are incorporated by reference. The board has established grounds for discipline and principles of ethics for veterinary medicine. Without regard as to whether the board has determined that an injury has occurred, the board may impose any of the disciplinary sanctions set forth in rule </w:t>
      </w:r>
      <w:hyperlink r:id="rId6">
        <w:r>
          <w:rPr>
            <w:rStyle w:val="Hyperlink"/>
            <w:rFonts w:ascii="Times New Roman" w:hAnsi="Times New Roman"/>
            <w:b w:val="false"/>
            <w:i w:val="false"/>
            <w:color w:val="000000"/>
            <w:sz w:val="22"/>
          </w:rPr>
          <w:t>811—10.7</w:t>
        </w:r>
      </w:hyperlink>
      <w:r>
        <w:rPr>
          <w:rFonts w:ascii="Times New Roman" w:hAnsi="Times New Roman"/>
          <w:b w:val="false"/>
          <w:i w:val="false"/>
          <w:color w:val="000000"/>
          <w:sz w:val="22"/>
        </w:rPr>
        <w:t>(17A,169,272C), including civil penalties in an amount not to exceed $10,000, when the board determines that the credential holder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color w:val="000000"/>
          <w:sz w:val="22"/>
        </w:rPr>
        <w:t xml:space="preserve">Grounds applicable to all credential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procuring a credential, which includes but is not limited to an intentional perversion of the truth in making application for a credential to practice any of the professions or activities regulated by the board in this state and includes false representations of a material fact, whether by word or by conduct, by false or misleading allegations, or by concealment of that which should have been disclosed when making application for a credential in this state, or attempting to file or filing with the board or the Iowa department of agriculture and land stewardship any false or forged diploma, certificate, affidavit, identification, or qualification in making an application for a credential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of a credential holder may be established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credential holder’s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the credential holder from the standards of learning or skill ordinarily possessed and applied by other credential holders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the failure to conform to the minimal standards of acceptable and prevailing practice of credential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includes, but is not limited to, an intentional perversion of the truth, either orally or in writing, and includes any representation contrary to legal or equitable duty, trust or confidence and is deemed by the board to be contrary to good conscience, prejudicial to the public welfare or may operate to the injury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harmful or detrimental to the public includes, but is not limited to, the failure of a credential holder to possess and exercise that degree of skill, learning and care expected of a reasonable, prudent credential holder acting in the same or similar circumstances, including for a veterinarian a violation of the standards of practice as set out in </w:t>
      </w:r>
      <w:hyperlink r:id="rId7">
        <w:r>
          <w:rPr>
            <w:rStyle w:val="Hyperlink"/>
            <w:rFonts w:ascii="Times New Roman" w:hAnsi="Times New Roman"/>
            <w:b w:val="false"/>
            <w:i w:val="false"/>
            <w:color w:val="000000"/>
            <w:sz w:val="22"/>
          </w:rPr>
          <w:t>811—Chapter 12</w:t>
        </w:r>
      </w:hyperlink>
      <w:r>
        <w:rPr>
          <w:rFonts w:ascii="Times New Roman" w:hAnsi="Times New Roman"/>
          <w:b w:val="false"/>
          <w:i w:val="false"/>
          <w:color w:val="000000"/>
          <w:sz w:val="22"/>
        </w:rPr>
        <w:t>, or when a credential holder is unable to practice with reasonable skill and safety on a client’s animals as a result of a mental or physical impairment or chemical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the use of drugs means the same as Iowa Code section </w:t>
      </w:r>
      <w:hyperlink r:id="rId8">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board may mandate a credential holder’s completion of a treatment program as a condition of probation or suspension and will consider the credential holder’s willingness to complete a treatment program when determining the appropriate degree of disciplinary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Conviction of a felony or misdemeanor, which includes, but is not limited to, the conviction of a public offense in the practice of the credential holder’s profession and is defined or classified as a felony under state or federal law, or violation of a statute or law designated as a felony in this state, another state, or the United States, which statute or law directly relates to the credential holder’s profession or ability to practice within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which includes but is not limited to a credential holder’s having made misleading, deceptive or untrue representations as to the credential holder’s competency to perform professional services for which the credential holder is not qualified to perform by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which includes but is not limited to an action by a credential holder in making information or intention known to the public which is false, deceptive, misleading or promoted through fraud or misrepresentation and includes statements which may consist of,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Inflated or unjustified expectations of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Self-laudatory claims that imply that the credential holder engaged in a field or specialty of practice for which the credential holder is not qualified. A veterinarian is not qualified to claim or imply specialization unless the veterinarian is a member in good standing of the respective specialty board or college recognized by the AVMA;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Representations that are likely to cause the average person to misunderstand;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Extravagant claims or claims of extraordinary skills not recognized by the credential holder’s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the provisions of Iowa Code chapters </w:t>
      </w:r>
      <w:hyperlink r:id="rId9">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rules promulgated thereunder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report a license, certificate, permit, or other credential revocation, suspension or other disciplinary action taken by a licensing or regulating authority of another state, territory or country within 30 days of the final action by such licensing or regulating authority. A stay by an appellate court cannot negate this requirement; however, if such disciplinary action is overturned or reversed by a court of last resort, such report is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credential holder or an applicant for a credential in this state to report, within 30 days, any settlement agreement or voluntary agreement to limit the practice of veterinary medicine or other applicable activities entered into in another state, district, territory or country or those included in Iowa Code section </w:t>
      </w:r>
      <w:hyperlink r:id="rId11">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 failure to submit the triennial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the revocation or suspension of a credential as listed in Iowa Code section </w:t>
      </w:r>
      <w:hyperlink r:id="rId13">
        <w:r>
          <w:rPr>
            <w:rStyle w:val="Hyperlink"/>
            <w:rFonts w:ascii="Times New Roman" w:hAnsi="Times New Roman"/>
            <w:b w:val="false"/>
            <w:i w:val="false"/>
            <w:color w:val="000000"/>
            <w:sz w:val="22"/>
          </w:rPr>
          <w:t>169.13</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14">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“d”</w:t>
      </w:r>
      <w:r>
        <w:rPr>
          <w:rFonts w:ascii="Times New Roman" w:hAnsi="Times New Roman"/>
          <w:b w:val="false"/>
          <w:i w:val="false"/>
          <w:color w:val="000000"/>
          <w:sz w:val="22"/>
        </w:rPr>
        <w:t>; having the person’s certificate, license, permit, or other credential revoked or suspended by the United States Department of Agriculture (USDA); or having the veterinarian’s USDA accreditation revoked, suspended or other disciplinary action taken against the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 lawful child support order as provided in </w:t>
      </w:r>
      <w:hyperlink r:id="rId15">
        <w:r>
          <w:rPr>
            <w:rStyle w:val="Hyperlink"/>
            <w:rFonts w:ascii="Times New Roman" w:hAnsi="Times New Roman"/>
            <w:b w:val="false"/>
            <w:i w:val="false"/>
            <w:color w:val="000000"/>
            <w:sz w:val="22"/>
          </w:rPr>
          <w:t>811—Chapter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pay any hearing fees and costs within the time specified in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continuing education requirements of rule 811—</w:t>
      </w:r>
      <w:hyperlink r:id="rId16">
        <w:r>
          <w:rPr>
            <w:rStyle w:val="Hyperlink"/>
            <w:rFonts w:ascii="Times New Roman" w:hAnsi="Times New Roman"/>
            <w:b w:val="false"/>
            <w:i w:val="false"/>
            <w:color w:val="000000"/>
            <w:sz w:val="22"/>
          </w:rPr>
          <w:t>8.10</w:t>
        </w:r>
      </w:hyperlink>
      <w:r>
        <w:rPr>
          <w:rFonts w:ascii="Times New Roman" w:hAnsi="Times New Roman"/>
          <w:b w:val="false"/>
          <w:i w:val="false"/>
          <w:color w:val="000000"/>
          <w:sz w:val="22"/>
        </w:rPr>
        <w:t>(169,272C).</w:t>
      </w:r>
    </w:p>
    <w:p>
      <w:pPr>
        <w:spacing w:before="0" w:after="0"/>
        <w:ind w:left="120"/>
        <w:jc w:val="both"/>
      </w:pPr>
      <w:r>
        <w:rPr>
          <w:rFonts w:ascii="Times New Roman" w:hAnsi="Times New Roman"/>
          <w:b w:val="false"/>
          <w:i w:val="false"/>
          <w:color w:val="000000"/>
          <w:sz w:val="22"/>
        </w:rPr>
        <w:t xml:space="preserve">The board cannot suspend or revoke a license issued by the board to a person who is in circumstances outlined by Iowa Code section </w:t>
      </w:r>
      <w:hyperlink r:id="rId17">
        <w:r>
          <w:rPr>
            <w:rStyle w:val="Hyperlink"/>
            <w:rFonts w:ascii="Times New Roman" w:hAnsi="Times New Roman"/>
            <w:b w:val="false"/>
            <w:i w:val="false"/>
            <w:color w:val="000000"/>
            <w:sz w:val="22"/>
          </w:rPr>
          <w:t>272C.4(10)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color w:val="000000"/>
          <w:sz w:val="22"/>
        </w:rPr>
        <w:t xml:space="preserve">Grounds applicable to licensed veterinarians only. </w:t>
      </w:r>
      <w:r>
        <w:rPr>
          <w:rFonts w:ascii="Times New Roman" w:hAnsi="Times New Roman"/>
          <w:b w:val="false"/>
          <w:i w:val="false"/>
          <w:color w:val="000000"/>
          <w:sz w:val="22"/>
        </w:rPr>
        <w:t xml:space="preserve">In addition to the grounds set out in subrule </w:t>
      </w:r>
      <w:hyperlink r:id="rId18">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 without regard as to whether the board has determined that injury has occurred, a licensed veterinarian is subject to disciplinary action for the violation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unethical conduct which includes, but is not limited to, a violation of the standards of practice as set out in </w:t>
      </w:r>
      <w:hyperlink r:id="rId19">
        <w:r>
          <w:rPr>
            <w:rStyle w:val="Hyperlink"/>
            <w:rFonts w:ascii="Times New Roman" w:hAnsi="Times New Roman"/>
            <w:b w:val="false"/>
            <w:i w:val="false"/>
            <w:color w:val="000000"/>
            <w:sz w:val="22"/>
          </w:rPr>
          <w:t>811—Chapter 12</w:t>
        </w:r>
      </w:hyperlink>
      <w:r>
        <w:rPr>
          <w:rFonts w:ascii="Times New Roman" w:hAnsi="Times New Roman"/>
          <w:b w:val="false"/>
          <w:i w:val="false"/>
          <w:color w:val="000000"/>
          <w:sz w:val="22"/>
        </w:rPr>
        <w:t xml:space="preserve">, and which may include acts or offenses in violation of Iowa’s principles of veterinary medical ethics, as adopted in subrule </w:t>
      </w:r>
      <w:hyperlink r:id="rId20">
        <w:r>
          <w:rPr>
            <w:rStyle w:val="Hyperlink"/>
            <w:rFonts w:ascii="Times New Roman" w:hAnsi="Times New Roman"/>
            <w:b w:val="false"/>
            <w:i w:val="false"/>
            <w:color w:val="000000"/>
            <w:sz w:val="22"/>
          </w:rPr>
          <w:t>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practice harmful or detrimental to the public which includes, but is not limited to,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use of a rubber stamp to affix a signature to a prescription. A licensee who is unable, due to a physical disability, to make a written signature or mark may substitute in lieu of a signature a rubber stamp which is adopted by the disabled person for all purposes requiring a signature and which is affixed by the disabled person or affixed by another person upon the request of the disabled person and in the licensee’s presence.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practice of maintaining any presigned prescription which is intended to be completed and issued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1">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Indiscriminately or promiscuously prescribing, administering or dispensing any drug; or prescribing, administering or dispensing any drug for other than a lawful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Permitting or directing any veterinary auxiliary personnel or any other person who does not hold the proper credentials to perform veterinary duties involving diagnosis, prescription or surgery, except as allowed pursuant to subrule </w:t>
      </w:r>
      <w:hyperlink r:id="rId22">
        <w:r>
          <w:rPr>
            <w:rStyle w:val="Hyperlink"/>
            <w:rFonts w:ascii="Times New Roman" w:hAnsi="Times New Roman"/>
            <w:b w:val="false"/>
            <w:i w:val="false"/>
            <w:color w:val="000000"/>
            <w:sz w:val="22"/>
          </w:rPr>
          <w:t>8.7(4)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Permitting or directing any veterinary auxiliary personnel or any other person to perform any act that would be a legal or ethical violation if committed by a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Negligently failing to exercise due care in the delegation of veterinary services to or in supervision of veterinary auxiliary personnel,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color w:val="000000"/>
          <w:sz w:val="22"/>
        </w:rPr>
        <w:t xml:space="preserve">Principles of veterinary medical ethics. </w:t>
      </w:r>
      <w:r>
        <w:rPr>
          <w:rFonts w:ascii="Times New Roman" w:hAnsi="Times New Roman"/>
          <w:b w:val="false"/>
          <w:i w:val="false"/>
          <w:color w:val="000000"/>
          <w:sz w:val="22"/>
        </w:rPr>
        <w:t>All Iowa-licensed veterinarians are expected to adhere to these principles of veterinary medical ethics listed below and adopted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ethics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may only be influenced by the welfare of the patient, the needs of the client, the safety of the public, and the need to uphold the public trust vested in the veterinary profession and shall avoid conflicts of interest or the appearance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shall provide competent veterinary medical care under the terms of a veterinarian-client-patient relationship (VCPR), with compassion and respect for animal welfare and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veterinarian shall uphold the standards of professionalism, be honest in all professional interactions, and report veterinarians who are deficient in character or competence to the appropriate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shall not willfully violate the provisions of Iowa Code chapters </w:t>
      </w:r>
      <w:hyperlink r:id="rId23">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rules promulgated thereunder by the board, or other law of this state, another state, or the United States, which relates to the practice of veterinary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veterinarian shall respect the rights of clients, colleagues, and other health professionals and safeguard medical information within the confines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veterinarian shall continue to study, apply, and advance scientific knowledge; maintain a commitment to veterinary medical education; make relevant information available to clients, colleagues, and the public; and obtain consultation or referral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veterinarian shall, in the provision of appropriate patient care, be free to choose whom to serve, with whom to associate, and the environment in which to provide veterinary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veterinarian shall not advertise a specialty or claim to be a specialist when not a diplomate of a veterinary specialty organization recognized by the AVMA.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Veterinarian-client-patient relationship ethics. </w:t>
      </w:r>
      <w:r>
        <w:rPr>
          <w:rFonts w:ascii="Times New Roman" w:hAnsi="Times New Roman"/>
          <w:b w:val="false"/>
          <w:i w:val="false"/>
          <w:color w:val="000000"/>
          <w:sz w:val="22"/>
        </w:rPr>
        <w:t>A veterinarian shall not engage in the practice of veterinary medicine without a valid VCPR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Veterinarian-client communication; documentation of informed consent.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shall explain to clients how any diagnostic tests offered would help diagnose a patient’s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is responsible for professional communication directly with the client regarding diagnosis, options for treatment(s), expected cost of treatment(s), expected outcome of treatment(s), and the potential risks associated with each treatment regimen, as well as the client’s ability to decline treatment(s). Client consent for the treatment(s) shall be documented in the patient’s medical records. Veterinary auxiliary personnel may communicate the information listed in this subparagraph to the client under the supervision of an Iowa-licensed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veterinarian does not have the expertise or the necessary equipment and facilities to adequately diagnose or treat a patient, the veterinarian shall offer a referral to another veterinarian where the diagnosis or treatment can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Veterinary 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accurate and legible medical records that are considered to meet the prevailing standard of the practice of veterinary medicine are set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controlled substances administered to a patient must be written into the patient’s medical record, which shall include the drug name, the date the drug was administered, the amount of drug administered, the frequency of drug administration, and the prescribing (and administering, if different) veterinarian’s name, pursuant to rules </w:t>
      </w:r>
      <w:hyperlink r:id="rId25">
        <w:r>
          <w:rPr>
            <w:rStyle w:val="Hyperlink"/>
            <w:rFonts w:ascii="Times New Roman" w:hAnsi="Times New Roman"/>
            <w:b w:val="false"/>
            <w:i w:val="false"/>
            <w:color w:val="000000"/>
            <w:sz w:val="22"/>
          </w:rPr>
          <w:t>811—12.2</w:t>
        </w:r>
      </w:hyperlink>
      <w:r>
        <w:rPr>
          <w:rFonts w:ascii="Times New Roman" w:hAnsi="Times New Roman"/>
          <w:b w:val="false"/>
          <w:i w:val="false"/>
          <w:color w:val="000000"/>
          <w:sz w:val="22"/>
        </w:rPr>
        <w:t xml:space="preserve">(169) to </w:t>
      </w:r>
      <w:hyperlink r:id="rId26">
        <w:r>
          <w:rPr>
            <w:rStyle w:val="Hyperlink"/>
            <w:rFonts w:ascii="Times New Roman" w:hAnsi="Times New Roman"/>
            <w:b w:val="false"/>
            <w:i w:val="false"/>
            <w:color w:val="000000"/>
            <w:sz w:val="22"/>
          </w:rPr>
          <w:t>811—12.4</w:t>
        </w:r>
      </w:hyperlink>
      <w:r>
        <w:rPr>
          <w:rFonts w:ascii="Times New Roman" w:hAnsi="Times New Roman"/>
          <w:b w:val="false"/>
          <w:i w:val="false"/>
          <w:color w:val="000000"/>
          <w:sz w:val="22"/>
        </w:rPr>
        <w:t>(169). This requirement is in addition to regulations and requirements promulgated by the Iowa board of pharmacy, U.S. Drug Enforcement Administration, and any other applicable governmental agency. Violating or failing to comply with a state or federal law or regulation relating to the storing, labeling, prescribing, or dispensing of controlled substances is unethical.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Humane euthanasia of animals is an ethical veterinary procedure. A veterinarian can refuse to perform euthanasia.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Client and patient privacy rights.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veterinarian shall protect and respect the privacy rights of clients, colleagues, and other health professionals. A veterinarian shall not reveal confidential medical records or other medical information unless authorized to do so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unethical to place photographs or information regarding a patient, a client, or a client’s premises on social media or other public platforms without the consent of the owner, unless the patient, client, or client’s premises cannot be identified by its marking and unless all personally identifying information has been removed from the photograph. Use of photographs and information for didactic purposes is permitted with client consent or after removal of any information that would identify the client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Professional behavior.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shall be honest in all professional interactions while respecting the rights of clients, colleagues, and other health professionals. A veterinarian must be honest and fair in relations with others, and a veterinarian shall not engage in fraud, misrepresentation, or deceit, including by material omission, in accordance with Iowa Code section </w:t>
      </w:r>
      <w:hyperlink r:id="rId27">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veterinarian must not defame or injure the professional standing or reputation of another veterinarian in a false or misleading manner. Any complaints about behavior of a veterinarian that may violate the principles of veterinary medical ethics should be addressed through the board in an appropriate and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veterinarian who is impaired due to substance abuse or mental health or physical conditions as set forth in Iowa Code section </w:t>
      </w:r>
      <w:hyperlink r:id="rId28">
        <w:r>
          <w:rPr>
            <w:rStyle w:val="Hyperlink"/>
            <w:rFonts w:ascii="Times New Roman" w:hAnsi="Times New Roman"/>
            <w:b w:val="false"/>
            <w:i w:val="false"/>
            <w:color w:val="000000"/>
            <w:sz w:val="22"/>
          </w:rPr>
          <w:t>169.13(1)</w:t>
        </w:r>
      </w:hyperlink>
      <w:r>
        <w:rPr>
          <w:rFonts w:ascii="Times New Roman" w:hAnsi="Times New Roman"/>
          <w:b w:val="false"/>
          <w:i/>
          <w:color w:val="000000"/>
          <w:sz w:val="22"/>
        </w:rPr>
        <w:t>“h”</w:t>
      </w:r>
      <w:r>
        <w:rPr>
          <w:rFonts w:ascii="Times New Roman" w:hAnsi="Times New Roman"/>
          <w:b w:val="false"/>
          <w:i w:val="false"/>
          <w:color w:val="000000"/>
          <w:sz w:val="22"/>
        </w:rPr>
        <w:t xml:space="preserve"> must not act in the capacity of a veterinarian and shall seek medical treatment from qualified organizations or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color w:val="000000"/>
          <w:sz w:val="22"/>
        </w:rPr>
        <w:t xml:space="preserve">Recommended practices for veterinarians.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participate in activities contributing to the improvement of the community and the betterment of public health. The responsibilities of the veterinary profession extend beyond individual patients and clients to society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participate in the political process to seek changes to laws and regulations that are contrary to the best interests of the patient, the client and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make the veterinarian’s knowledge available to the community and to provide the veterinarian’s services for activities that protect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veterinarian is encouraged to view, evaluate, and treat all individual persons in any professional activity or circumstance in which the veterinarian may be involved solely as individuals on the basis of the person’s personal abilities, qualifications and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i w:val="false"/>
          <w:color w:val="000000"/>
          <w:sz w:val="16"/>
        </w:rPr>
        <w:t>ARC 0322D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10.pdf" Type="http://schemas.openxmlformats.org/officeDocument/2006/relationships/hyperlink" Id="rId4"/>
    <Relationship TargetMode="External" Target="https://www.legis.iowa.gov/docs/ico/chapter/169.13.pdf" Type="http://schemas.openxmlformats.org/officeDocument/2006/relationships/hyperlink" Id="rId5"/>
    <Relationship TargetMode="External" Target="https://www.legis.iowa.gov/docs/iac/rule/811.10.7.pdf" Type="http://schemas.openxmlformats.org/officeDocument/2006/relationships/hyperlink" Id="rId6"/>
    <Relationship TargetMode="External" Target="https://www.legis.iowa.gov/docs/iac/chapter/811.12.pdf" Type="http://schemas.openxmlformats.org/officeDocument/2006/relationships/hyperlink" Id="rId7"/>
    <Relationship TargetMode="External" Target="https://www.legis.iowa.gov/docs/ico/chapter/169.13.pdf" Type="http://schemas.openxmlformats.org/officeDocument/2006/relationships/hyperlink" Id="rId8"/>
    <Relationship TargetMode="External" Target="https://www.legis.iowa.gov/docs/ico/chapter/169.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272C.9.pdf" Type="http://schemas.openxmlformats.org/officeDocument/2006/relationships/hyperlink" Id="rId11"/>
    <Relationship TargetMode="External" Target="https://www.legis.iowa.gov/docs/ico/chapter/169.13.pdf" Type="http://schemas.openxmlformats.org/officeDocument/2006/relationships/hyperlink" Id="rId12"/>
    <Relationship TargetMode="External" Target="https://www.legis.iowa.gov/docs/ico/chapter/169.13.pdf" Type="http://schemas.openxmlformats.org/officeDocument/2006/relationships/hyperlink" Id="rId13"/>
    <Relationship TargetMode="External" Target="https://www.legis.iowa.gov/docs/ico/chapter/169.13.pdf" Type="http://schemas.openxmlformats.org/officeDocument/2006/relationships/hyperlink" Id="rId14"/>
    <Relationship TargetMode="External" Target="https://www.legis.iowa.gov/docs/iac/chapter/811.13.pdf" Type="http://schemas.openxmlformats.org/officeDocument/2006/relationships/hyperlink" Id="rId15"/>
    <Relationship TargetMode="External" Target="https://www.legis.iowa.gov/docs/iac/rule/811.8.10.pdf" Type="http://schemas.openxmlformats.org/officeDocument/2006/relationships/hyperlink" Id="rId16"/>
    <Relationship TargetMode="External" Target="https://www.legis.iowa.gov/docs/ico/chapter/272C.4.pdf" Type="http://schemas.openxmlformats.org/officeDocument/2006/relationships/hyperlink" Id="rId17"/>
    <Relationship TargetMode="External" Target="https://www.legis.iowa.gov/docs/iac/rule/811.10.6.pdf" Type="http://schemas.openxmlformats.org/officeDocument/2006/relationships/hyperlink" Id="rId18"/>
    <Relationship TargetMode="External" Target="https://www.legis.iowa.gov/docs/iac/chapter/811.12.pdf" Type="http://schemas.openxmlformats.org/officeDocument/2006/relationships/hyperlink" Id="rId19"/>
    <Relationship TargetMode="External" Target="https://www.legis.iowa.gov/docs/iac/rule/811.10.6.pdf" Type="http://schemas.openxmlformats.org/officeDocument/2006/relationships/hyperlink" Id="rId20"/>
    <Relationship TargetMode="External" Target="https://www.legis.iowa.gov/docs/ico/chapter/169.13.pdf" Type="http://schemas.openxmlformats.org/officeDocument/2006/relationships/hyperlink" Id="rId21"/>
    <Relationship TargetMode="External" Target="https://www.legis.iowa.gov/docs/iac/rule/811.8.7.pdf" Type="http://schemas.openxmlformats.org/officeDocument/2006/relationships/hyperlink" Id="rId22"/>
    <Relationship TargetMode="External" Target="https://www.legis.iowa.gov/docs/ico/chapter/169.pdf" Type="http://schemas.openxmlformats.org/officeDocument/2006/relationships/hyperlink" Id="rId23"/>
    <Relationship TargetMode="External" Target="https://www.legis.iowa.gov/docs/ico/chapter/272C.pdf" Type="http://schemas.openxmlformats.org/officeDocument/2006/relationships/hyperlink" Id="rId24"/>
    <Relationship TargetMode="External" Target="https://www.legis.iowa.gov/docs/iac/rule/811.12.2.pdf" Type="http://schemas.openxmlformats.org/officeDocument/2006/relationships/hyperlink" Id="rId25"/>
    <Relationship TargetMode="External" Target="https://www.legis.iowa.gov/docs/iac/rule/811.12.4.pdf" Type="http://schemas.openxmlformats.org/officeDocument/2006/relationships/hyperlink" Id="rId26"/>
    <Relationship TargetMode="External" Target="https://www.legis.iowa.gov/docs/ico/chapter/169.13.pdf" Type="http://schemas.openxmlformats.org/officeDocument/2006/relationships/hyperlink" Id="rId27"/>
    <Relationship TargetMode="External" Target="https://www.legis.iowa.gov/docs/ico/chapter/169.13.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