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701—7.9</w:t>
      </w:r>
      <w:r>
        <w:rPr>
          <w:rFonts w:ascii="Times New Roman" w:hAnsi="Times New Roman"/>
          <w:b/>
          <w:i w:val="false"/>
          <w:color w:val="000000"/>
          <w:sz w:val="22"/>
        </w:rPr>
        <w:t xml:space="preserve">(17A) </w:t>
      </w:r>
      <w:r>
        <w:rPr>
          <w:rFonts w:ascii="Times New Roman" w:hAnsi="Times New Roman"/>
          <w:b/>
          <w:i w:val="false"/>
          <w:color w:val="000000"/>
          <w:sz w:val="22"/>
        </w:rPr>
        <w:t xml:space="preserve">Resolution of tax liability. </w:t>
      </w:r>
      <w:r>
        <w:rPr>
          <w:rFonts w:ascii="Times New Roman" w:hAnsi="Times New Roman"/>
          <w:b w:val="false"/>
          <w:i w:val="false"/>
          <w:color w:val="000000"/>
          <w:sz w:val="22"/>
        </w:rPr>
        <w:t>In the event that a proper appeal has been filed, other department personnel, when authorized by the enforcement actions and appeals bureau, have the authority to discuss the resolution of any matter in the appeal either with the taxpayer or the taxpayer’s representative. The personnel shall report their activities in this regard to the enforcement actions and appeals bureau, and the bureau shall be authorized to approve or reject any recommendations made by the appropriate personnel to resolve an appeal.</w:t>
      </w:r>
    </w:p>
    <w:p>
      <w:pPr>
        <w:spacing w:before="0" w:after="0"/>
        <w:ind w:left="120"/>
        <w:jc w:val="both"/>
      </w:pPr>
      <w:r>
        <w:rPr>
          <w:rFonts w:ascii="Times New Roman" w:hAnsi="Times New Roman"/>
          <w:b w:val="false"/>
          <w:i w:val="false"/>
          <w:color w:val="000000"/>
          <w:sz w:val="22"/>
        </w:rPr>
        <w:t xml:space="preserve"> This rule is intended to implement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i w:val="false"/>
          <w:color w:val="000000"/>
          <w:sz w:val="16"/>
        </w:rPr>
        <w:t>ARC 0321D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