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701—7.3</w:t>
      </w:r>
      <w:r>
        <w:rPr>
          <w:rFonts w:ascii="Times New Roman" w:hAnsi="Times New Roman"/>
          <w:b/>
          <w:i w:val="false"/>
          <w:color w:val="000000"/>
          <w:sz w:val="22"/>
        </w:rPr>
        <w:t xml:space="preserve">(17A,99G,123,421-454)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 xml:space="preserve">Appeals, petitions,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GovConnectIowa is available for filing appeals, petitions for declaratory order, petitions for rulemaking, and petitions for rule waiver for all matters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5">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division of administrative hearings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in accordance with rule </w:t>
      </w:r>
      <w:hyperlink r:id="rId6">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7">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9707C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9A.pdf" Type="http://schemas.openxmlformats.org/officeDocument/2006/relationships/hyperlink" Id="rId4"/>
    <Relationship TargetMode="External" Target="mailto:idrhearings@iowa.gov" Type="http://schemas.openxmlformats.org/officeDocument/2006/relationships/hyperlink" Id="rId5"/>
    <Relationship TargetMode="External" Target="https://www.legis.iowa.gov/docs/iac/rule/481.10.12.pdf" Type="http://schemas.openxmlformats.org/officeDocument/2006/relationships/hyperlink" Id="rId6"/>
    <Relationship TargetMode="External" Target="https://www.legis.iowa.gov/docs/iac/rule/701.8.6.pdf" Type="http://schemas.openxmlformats.org/officeDocument/2006/relationships/hyperlink" Id="rId7"/>
    <Relationship TargetMode="External" Target="https://www.legis.iowa.gov/docs/ico/chapter/17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