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the lottery division, and other such divisions as the director may from time to time establish, abolish, or consolidate.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management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Strategic planning and coordination of the future operations and goals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financial checks and balances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Facilitation of a working relationship between the public sector and the private sector.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 and tax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 and tax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Lottery.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alcoholic beverages commission. </w:t>
      </w:r>
      <w:r>
        <w:rPr>
          <w:rFonts w:ascii="Times New Roman" w:hAnsi="Times New Roman"/>
          <w:b w:val="false"/>
          <w:i w:val="false"/>
          <w:color w:val="000000"/>
          <w:sz w:val="22"/>
        </w:rPr>
        <w:t xml:space="preserve">The alcoholic beverages commission consists of five commission members appointed by the governor and confirmed by the senate.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lottery commission. </w:t>
      </w:r>
      <w:r>
        <w:rPr>
          <w:rFonts w:ascii="Times New Roman" w:hAnsi="Times New Roman"/>
          <w:b w:val="false"/>
          <w:i w:val="false"/>
          <w:color w:val="000000"/>
          <w:sz w:val="22"/>
        </w:rPr>
        <w:t xml:space="preserve">The lottery commission consists of five members appointed by the governor and confirmed by the senate.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