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701—11.7</w:t>
      </w:r>
      <w:r>
        <w:rPr>
          <w:rFonts w:ascii="Times New Roman" w:hAnsi="Times New Roman"/>
          <w:b/>
          <w:i w:val="false"/>
          <w:color w:val="000000"/>
          <w:sz w:val="22"/>
        </w:rPr>
        <w:t xml:space="preserve">(422,453B)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This rule governs jeopardy assessments for all taxes and charges administered by the department. A jeopardy assessment may be made where the director believes for any reason that assessment or collection of the tax will be jeopardized by delay. In addition, all assessments made pursuant to Iowa Code chapter </w:t>
      </w:r>
      <w:hyperlink r:id="rId4">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xml:space="preserve"> are jeopardy assessments. The department is authorized to estimate the applicable tax base and the tax upon available information, add penalty and interest, and demand immediate payment. Proceedings to enforce the payment of the assessment by seizure or sale of any property of the taxpayer may be instituted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Request for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a taxpayer seeks to post a bond in lieu of summary collection of a jeopardy assessment, pending final determination of the amount of tax legally due, the taxpayer must file a Jeopardy Assessment Bond Request Form, available on the department’s website, with the clerk of the legal services division for the department. The department will accept or reject the bond request, in writing, within ten days. If the department does not respond within ten days, the bond request is deemed rejected. The department is not required to accept bond requests. If the department accepts the bond request, the clerk of the legal services division for the department shall be notified. The approval is conditioned upon the taxpayer’s posting the bond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Bond requests may be made any time after a timely appeal of the jeopardy assessment has been filed with the department in accordance with </w:t>
      </w:r>
      <w:hyperlink r:id="rId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except that any bond request whereby the taxpayer seeks to postpone a scheduled sale of assets seized by or on behalf of the department must be filed with the clerk of the legal services division for the department no later than ten days from the date on which notice of the sale was mailed to, or otherwise served upon, the taxpayer. Portions of an assessment that are undisputed must be paid in full at the time a bond request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Posting of bond. </w:t>
      </w:r>
      <w:r>
        <w:rPr>
          <w:rFonts w:ascii="Times New Roman" w:hAnsi="Times New Roman"/>
          <w:b w:val="false"/>
          <w:i w:val="false"/>
          <w:color w:val="000000"/>
          <w:sz w:val="22"/>
        </w:rPr>
        <w:t xml:space="preserve">If the department accepts the bond request, the taxpayer shall post the bond within 15 days from the date the taxpayer was notified of the acceptance by the department.  If the taxpayer fails to post the bond by the deadline, the bond request is deemed rejected and no bond will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Type of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shall be payable to the department for the use of the state of Iowa and shall be conditioned upon the full payment of the tax, penalty, interest, or fees that are found to be due which remain unpaid upon the resolution of the contested case proceedings up to the amount of the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personal bond, without a surety, is only permitted if the taxpayer posts with the clerk of the legal services division for the department, cash, a cashier’s check, a certificate of deposit, or other marketable securities which are approved by the department with a readily ascertainable value which is equal in value to the total amount of the bond required. If a surety bond is posted, the surety on the bond may be either personal or corporate. The provisions of Iowa Code chapter </w:t>
      </w:r>
      <w:hyperlink r:id="rId6">
        <w:r>
          <w:rPr>
            <w:rStyle w:val="Hyperlink"/>
            <w:rFonts w:ascii="Times New Roman" w:hAnsi="Times New Roman"/>
            <w:b w:val="false"/>
            <w:i w:val="false"/>
            <w:color w:val="000000"/>
            <w:sz w:val="22"/>
          </w:rPr>
          <w:t>636</w:t>
        </w:r>
      </w:hyperlink>
      <w:r>
        <w:rPr>
          <w:rFonts w:ascii="Times New Roman" w:hAnsi="Times New Roman"/>
          <w:b w:val="false"/>
          <w:i w:val="false"/>
          <w:color w:val="000000"/>
          <w:sz w:val="22"/>
        </w:rPr>
        <w:t xml:space="preserve"> relating to personal and corporate sureties shall govern to the extent not inconsistent with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Form of surety bond. </w:t>
      </w:r>
      <w:r>
        <w:rPr>
          <w:rFonts w:ascii="Times New Roman" w:hAnsi="Times New Roman"/>
          <w:b w:val="false"/>
          <w:i w:val="false"/>
          <w:color w:val="000000"/>
          <w:sz w:val="22"/>
        </w:rPr>
        <w:t>The surety bond posted shall be in substantially the following form:</w:t>
      </w:r>
    </w:p>
    <w:p>
      <w:pPr>
        <w:spacing w:before="60" w:after="0"/>
        <w:ind w:left="120"/>
        <w:jc w:val="center"/>
      </w:pPr>
      <w:r>
        <w:rPr>
          <w:rFonts w:ascii="Times New Roman" w:hAnsi="Times New Roman"/>
          <w:b w:val="false"/>
          <w:i w:val="false"/>
          <w:color w:val="000000"/>
          <w:sz w:val="22"/>
        </w:rPr>
        <w:t>BEFORE THE IOWA STATE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(Taxpayer’s Name,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BOND</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sales, etc.)</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center"/>
      </w:pPr>
      <w:r>
        <w:rPr>
          <w:rFonts w:ascii="Times New Roman" w:hAnsi="Times New Roman"/>
          <w:b w:val="false"/>
          <w:i w:val="false"/>
          <w:color w:val="000000"/>
          <w:sz w:val="22"/>
        </w:rPr>
        <w:t>KNOW ALL PERSONS BY THESE PRESENTS: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That we ______</w:t>
      </w:r>
      <w:r>
        <w:rPr>
          <w:rFonts w:ascii="Times New Roman" w:hAnsi="Times New Roman"/>
          <w:b w:val="false"/>
          <w:i w:val="false"/>
          <w:color w:val="000000"/>
          <w:sz w:val="22"/>
          <w:u w:val="single"/>
        </w:rPr>
        <w:t>(taxpayer)</w:t>
      </w:r>
      <w:r>
        <w:rPr>
          <w:rFonts w:ascii="Times New Roman" w:hAnsi="Times New Roman"/>
          <w:b w:val="false"/>
          <w:i w:val="false"/>
          <w:color w:val="000000"/>
          <w:sz w:val="22"/>
        </w:rPr>
        <w:t>______ as principal, and ______</w:t>
      </w:r>
      <w:r>
        <w:rPr>
          <w:rFonts w:ascii="Times New Roman" w:hAnsi="Times New Roman"/>
          <w:b w:val="false"/>
          <w:i w:val="false"/>
          <w:color w:val="000000"/>
          <w:sz w:val="22"/>
          <w:u w:val="single"/>
        </w:rPr>
        <w:t>(surety)</w:t>
      </w:r>
      <w:r>
        <w:rPr>
          <w:rFonts w:ascii="Times New Roman" w:hAnsi="Times New Roman"/>
          <w:b w:val="false"/>
          <w:i w:val="false"/>
          <w:color w:val="000000"/>
          <w:sz w:val="22"/>
        </w:rPr>
        <w:t>______, as surety, of the county of ________________, and State of Iowa, are held and firmly bound unto the Iowa Department of Revenue for the use of the State of Iowa, in the sum of $ ____________ dollars, lawful money of the United States, for the payment of which sum we jointly and severally bind ourselves, our heirs, devisees, successors and assigns firmly by these presents. The condition of the foregoing obligations are, that, whereas the above-named principal has protested an assessment of tax, penalty, interest, or fees or any combination of them, made by the Iowa Department of Revenue, now if the principal _________________________ shall promptly pay the amount of the assessed tax, penalty, interest or fees found to be due upon the resolution of the contested case proceedings, then this bond shall be void, otherwise to remain in full force and effect.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Dated this ____________ day of _______________________________,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Principal</w:t>
      </w:r>
    </w:p>
    <w:p>
      <w:pPr>
        <w:spacing w:before="0" w:after="0"/>
        <w:ind w:left="120"/>
        <w:jc w:val="both"/>
      </w:pPr>
    </w:p>
    <w:p>
      <w:pPr>
        <w:spacing w:before="0" w:after="0"/>
        <w:ind w:left="120"/>
        <w:jc w:val="both"/>
      </w:pPr>
      <w:r>
        <w:rPr>
          <w:rFonts w:ascii="Times New Roman" w:hAnsi="Times New Roman"/>
          <w:b w:val="false"/>
          <w:i w:val="false"/>
          <w:color w:val="000000"/>
          <w:sz w:val="22"/>
        </w:rPr>
        <w:t>Surety</w:t>
      </w:r>
    </w:p>
    <w:p>
      <w:pPr>
        <w:spacing w:before="0" w:after="0"/>
        <w:ind w:left="120"/>
        <w:jc w:val="both"/>
      </w:pPr>
    </w:p>
    <w:p>
      <w:pPr>
        <w:spacing w:before="0" w:after="0"/>
        <w:ind w:left="120"/>
        <w:jc w:val="both"/>
      </w:pPr>
      <w:r>
        <w:rPr>
          <w:rFonts w:ascii="Times New Roman" w:hAnsi="Times New Roman"/>
          <w:b w:val="false"/>
          <w:i w:val="false"/>
          <w:color w:val="000000"/>
          <w:sz w:val="22"/>
        </w:rPr>
        <w:t>Surety</w:t>
      </w:r>
    </w:p>
    <w:p>
      <w:pPr>
        <w:spacing w:before="0" w:after="0"/>
        <w:ind w:left="120"/>
        <w:jc w:val="center"/>
      </w:pPr>
      <w:r>
        <w:rPr>
          <w:rFonts w:ascii="Times New Roman" w:hAnsi="Times New Roman"/>
          <w:b w:val="false"/>
          <w:i w:val="false"/>
          <w:color w:val="000000"/>
          <w:sz w:val="22"/>
        </w:rPr>
        <w:t>(corporate acknowledgment if surety is a corporation)</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AFFIDAVIT OF PERSONAL SURETY</w:t>
      </w:r>
    </w:p>
    <w:tbl>
      <w:tblPr>
        <w:tblW w:w="0" w:type="auto"/>
        <w:tblCellSpacing w:w="0" w:type="auto"/>
        <w:tblBorders>
          <w:top w:val="none"/>
          <w:left w:val="none"/>
          <w:bottom w:val="none"/>
          <w:right w:val="none"/>
          <w:insideH w:val="none"/>
          <w:insideV w:val="none"/>
        </w:tblBorders>
        <w:tblLayout w:type="fixed"/>
      </w:tblPr>
      <w:tblGrid>
        <w:gridCol w:w="3860"/>
        <w:gridCol w:w="403"/>
        <w:gridCol w:w="1785"/>
        <w:gridCol w:w="5472"/>
      </w:tblGrid>
      <w:tr>
        <w:trPr>
          <w:trHeight w:val="255"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STATE OF IOWA </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1785" w:type="dxa"/>
            <w:vMerge w:val="restart"/>
            <w:tcBorders>
              <w:bottom w:val="single" w:color="000000" w:sz="8"/>
            </w:tcBorders>
            <w:tcMar>
              <w:top w:w="30" w:type="dxa"/>
              <w:left w:w="30" w:type="dxa"/>
              <w:bottom w:w="15" w:type="dxa"/>
              <w:right w:w="30" w:type="dxa"/>
            </w:tcMar>
            <w:vAlign w:val="center"/>
          </w:tcPr>
          <w:p/>
        </w:tc>
        <w:tc>
          <w:tcPr>
            <w:tcW w:w="5472"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ss</w:t>
            </w:r>
          </w:p>
        </w:tc>
      </w:tr>
      <w:tr>
        <w:trPr>
          <w:trHeight w:val="255" w:hRule="atLeast"/>
        </w:trPr>
        <w:tc>
          <w:tcPr>
            <w:tcW w:w="386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COUNTY OF</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0" w:type="auto"/>
            <w:vMerge/>
            <w:tcBorders>
              <w:top w:val="nil"/>
              <w:bottom w:val="single" w:color="000000" w:sz="8"/>
            </w:tcBorders>
          </w:tcPr>
          <w:p/>
        </w:tc>
        <w:tc>
          <w:tcPr>
            <w:tcW w:w="0" w:type="auto"/>
            <w:vMerge/>
            <w:tcBorders>
              <w:top w:val="nil"/>
              <w:bottom w:val="single" w:color="000000" w:sz="8"/>
            </w:tcBorders>
          </w:tcPr>
          <w:p/>
        </w:tc>
      </w:tr>
    </w:tbl>
    <w:p>
      <w:pPr>
        <w:spacing w:before="0" w:after="0"/>
        <w:ind w:left="120"/>
        <w:jc w:val="both"/>
      </w:pPr>
      <w:r>
        <w:rPr>
          <w:rFonts w:ascii="Times New Roman" w:hAnsi="Times New Roman"/>
          <w:b w:val="false"/>
          <w:i w:val="false"/>
          <w:color w:val="000000"/>
          <w:sz w:val="22"/>
        </w:rPr>
        <w:t>I hereby swear or affirm that I am a resident of Iowa and am worth beyond my debts the amount set opposite my signature below in the column entitled, “Worth Beyond Debts,” and that I have property in the State of Iowa, liable to execution equal to the amount set opposite my signature in the column entitled “Property in Iowa Liable to Execution.”</w:t>
      </w:r>
    </w:p>
    <w:tbl>
      <w:tblPr>
        <w:tblW w:w="0" w:type="auto"/>
        <w:tblCellSpacing w:w="0" w:type="auto"/>
        <w:tblBorders>
          <w:top w:val="none"/>
          <w:left w:val="none"/>
          <w:bottom w:val="none"/>
          <w:right w:val="none"/>
          <w:insideH w:val="none"/>
          <w:insideV w:val="none"/>
        </w:tblBorders>
        <w:tblLayout w:type="fixed"/>
      </w:tblPr>
      <w:tblGrid>
        <w:gridCol w:w="4608"/>
        <w:gridCol w:w="2880"/>
        <w:gridCol w:w="4032"/>
      </w:tblGrid>
      <w:tr>
        <w:trPr>
          <w:trHeight w:val="390" w:hRule="atLeast"/>
        </w:trPr>
        <w:tc>
          <w:tcPr>
            <w:tcW w:w="4608"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Signature</w:t>
            </w:r>
          </w:p>
        </w:tc>
        <w:tc>
          <w:tcPr>
            <w:tcW w:w="288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Worth</w:t>
            </w:r>
          </w:p>
          <w:p>
            <w:pPr>
              <w:spacing w:before="0" w:after="0"/>
              <w:ind w:left="160"/>
              <w:jc w:val="center"/>
            </w:pPr>
            <w:r>
              <w:rPr>
                <w:rFonts w:ascii="Times New Roman" w:hAnsi="Times New Roman"/>
                <w:b w:val="false"/>
                <w:i w:val="false"/>
                <w:color w:val="000000"/>
                <w:sz w:val="16"/>
              </w:rPr>
              <w:t>Beyond Debts</w:t>
            </w:r>
          </w:p>
        </w:tc>
        <w:tc>
          <w:tcPr>
            <w:tcW w:w="403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Property in Iowa</w:t>
            </w:r>
          </w:p>
          <w:p>
            <w:pPr>
              <w:spacing w:before="0" w:after="0"/>
              <w:ind w:left="160"/>
              <w:jc w:val="center"/>
            </w:pPr>
            <w:r>
              <w:rPr>
                <w:rFonts w:ascii="Times New Roman" w:hAnsi="Times New Roman"/>
                <w:b w:val="false"/>
                <w:i w:val="false"/>
                <w:color w:val="000000"/>
                <w:sz w:val="16"/>
              </w:rPr>
              <w:t>Liable to Execution</w:t>
            </w:r>
          </w:p>
        </w:tc>
      </w:tr>
      <w:tr>
        <w:trPr>
          <w:trHeight w:val="210" w:hRule="atLeast"/>
        </w:trPr>
        <w:tc>
          <w:tcPr>
            <w:tcW w:w="4608" w:type="dxa"/>
            <w:tcBorders/>
            <w:tcMar>
              <w:top w:w="30" w:type="dxa"/>
              <w:left w:w="30" w:type="dxa"/>
              <w:bottom w:w="15" w:type="dxa"/>
              <w:right w:w="30" w:type="dxa"/>
            </w:tcMar>
            <w:vAlign w:val="bottom"/>
          </w:tcPr>
          <w:p>
            <w:pPr>
              <w:spacing w:before="0" w:after="0"/>
              <w:ind w:left="0"/>
              <w:jc w:val="left"/>
            </w:pPr>
          </w:p>
        </w:tc>
        <w:tc>
          <w:tcPr>
            <w:tcW w:w="288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403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345"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608" w:type="dxa"/>
            <w:tcBorders/>
            <w:tcMar>
              <w:top w:w="30" w:type="dxa"/>
              <w:left w:w="30" w:type="dxa"/>
              <w:bottom w:w="15" w:type="dxa"/>
              <w:right w:w="30" w:type="dxa"/>
            </w:tcMar>
            <w:vAlign w:val="bottom"/>
          </w:tcPr>
          <w:p>
            <w:pPr>
              <w:spacing w:before="0" w:after="0"/>
              <w:ind w:left="0"/>
              <w:jc w:val="left"/>
            </w:pPr>
          </w:p>
        </w:tc>
        <w:tc>
          <w:tcPr>
            <w:tcW w:w="288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403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Subscribed and sworn to before me the undersigned Notary Public this _______________ day of 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(Seal)</w:t>
      </w:r>
      <w:r>
        <w:rPr>
          <w:rFonts w:ascii="Times New Roman" w:hAnsi="Times New Roman"/>
          <w:b w:val="false"/>
          <w:i w:val="false"/>
          <w:color w:val="000000"/>
          <w:sz w:val="22"/>
        </w:rPr>
        <w:t>Notary Public in and</w:t>
      </w:r>
    </w:p>
    <w:p>
      <w:pPr>
        <w:spacing w:before="0" w:after="0"/>
        <w:ind w:left="120"/>
        <w:jc w:val="right"/>
      </w:pPr>
      <w:r>
        <w:rPr>
          <w:rFonts w:ascii="Times New Roman" w:hAnsi="Times New Roman"/>
          <w:b w:val="false"/>
          <w:i w:val="false"/>
          <w:color w:val="000000"/>
          <w:sz w:val="22"/>
        </w:rPr>
        <w:t>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Duration of bond. </w:t>
      </w:r>
      <w:r>
        <w:rPr>
          <w:rFonts w:ascii="Times New Roman" w:hAnsi="Times New Roman"/>
          <w:b w:val="false"/>
          <w:i w:val="false"/>
          <w:color w:val="000000"/>
          <w:sz w:val="22"/>
        </w:rPr>
        <w:t>The bond shall remain in full force and effect until the conditions of the bond have been fulfilled or until the bond is otherwise exonerated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color w:val="000000"/>
          <w:sz w:val="22"/>
        </w:rPr>
        <w:t xml:space="preserve">Exoneration of bond. </w:t>
      </w:r>
      <w:r>
        <w:rPr>
          <w:rFonts w:ascii="Times New Roman" w:hAnsi="Times New Roman"/>
          <w:b w:val="false"/>
          <w:i w:val="false"/>
          <w:color w:val="000000"/>
          <w:sz w:val="22"/>
        </w:rPr>
        <w:t>Upon conclusion of the contested case administrative proceedings, the bond shall be exonerated by the department when any of the following events occur: upon full payment of the tax, penalty, interest, costs or fees found to be due; upon filing a bond for the purposes of judicial review which bond is sufficient to secure the unpaid tax penalty, interest, costs and fees; or if no additional tax, penalty, interest, costs or fees are found to be due that have not been previously paid, upon entry of a final unappealable order which resolves the underlying appeal.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B.pdf" Type="http://schemas.openxmlformats.org/officeDocument/2006/relationships/hyperlink" Id="rId4"/>
    <Relationship TargetMode="External" Target="https://www.legis.iowa.gov/docs/iac/chapter/701.7.pdf" Type="http://schemas.openxmlformats.org/officeDocument/2006/relationships/hyperlink" Id="rId5"/>
    <Relationship TargetMode="External" Target="https://www.legis.iowa.gov/docs/ico/chapter/636.pdf" Type="http://schemas.openxmlformats.org/officeDocument/2006/relationships/hyperlink" Id="rId6"/>
    <Relationship TargetMode="External" Target="https://www.legis.iowa.gov/docs/ico/chapter/422.30.pdf" Type="http://schemas.openxmlformats.org/officeDocument/2006/relationships/hyperlink" Id="rId7"/>
    <Relationship TargetMode="External" Target="https://www.legis.iowa.gov/docs/ico/chapter/453B.9.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