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7—2506.8</w:t>
      </w:r>
      <w:r>
        <w:rPr>
          <w:rFonts w:ascii="Times New Roman" w:hAnsi="Times New Roman"/>
          <w:b/>
          <w:i w:val="false"/>
          <w:color w:val="000000"/>
          <w:sz w:val="22"/>
        </w:rPr>
        <w:t xml:space="preserve">(17A)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The presiding officer may resolve preliminary procedural motions by telephone or videoconference in which all parties have an opportunity to participate. Other telephone proceedings may be held with the consent of all parties. The presiding officer will determine the location of the parties and witnesses for telephone hearings. The convenience of the witnesses or parties, as well as the nature of the case, must be considered when a location is chosen.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