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7—2506.7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Waiver of procedures.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Unless otherwise prohibited by law, the parties in a contested case proceeding may waive any portion of this chapter. However, the agency in its discretion may refuse to give effect to such a waiver when it deems the waiver to be inconsistent with the public interest.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0190D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4/1/26, effective 5/6/26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vt="http://schemas.openxmlformats.org/officeDocument/2006/docPropsVTypes" xmlns:properties="http://schemas.openxmlformats.org/officeDocument/2006/extended-properti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