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val="false"/>
          <w:color w:val="000000"/>
          <w:sz w:val="22"/>
        </w:rPr>
        <w:t>A person entitled to a contested case proceeding shall, whenever possible, electronically file written request for such a proceeding within the time specified by the governing rules or statutes or, if no rule or statute sets such a time, the time set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must state the name, email, and address of the requester and identify the specific agency action disputed. Where the requester is represented by an attorney, the request must identify the law or precedent requiring or authorizing the holding of a contested case proceeding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