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must identify on whose behalf it is filed, the portion of the decision the party wants reconsidered, the specific grounds for rehearing, whether the party wants to proceed on the record or to submit additional evidence,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deadline to file an application for rehearing is 20 days after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or emailed by the applicant to all parties of record not joining therein. If the application does not contain a certificate of service, the agency will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 xml:space="preserve">A party need not respond to an application for rehearing unless the government entity requests a response. An application for a rehearing is deemed denied if it is not granted within 20 days of its filing or, if a response is filed, within 20 days of the filing of a response. An application for rehearing is optional; a party need not file an application to exhaust available administrative remedies. The filing of an application for rehearing shall toll the time period for appeal in rule </w:t>
      </w:r>
      <w:hyperlink r:id="rId4">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