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7—2506.27</w:t>
      </w:r>
      <w:r>
        <w:rPr>
          <w:rFonts w:ascii="Times New Roman" w:hAnsi="Times New Roman"/>
          <w:b/>
          <w:i w:val="false"/>
          <w:color w:val="000000"/>
          <w:sz w:val="22"/>
        </w:rPr>
        <w:t xml:space="preserve">(17A) </w:t>
      </w:r>
      <w:r>
        <w:rPr>
          <w:rFonts w:ascii="Times New Roman" w:hAnsi="Times New Roman"/>
          <w:b/>
          <w:i w:val="false"/>
          <w:color w:val="000000"/>
          <w:sz w:val="22"/>
        </w:rPr>
        <w:t xml:space="preserve">Appeals and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2506.27(1)</w:t>
      </w:r>
      <w:r>
        <w:rPr>
          <w:rFonts w:ascii="Times New Roman" w:hAnsi="Times New Roman"/>
          <w:b w:val="false"/>
          <w:i w:val="false"/>
          <w:color w:val="000000"/>
          <w:sz w:val="22"/>
        </w:rPr>
        <w:t> </w:t>
      </w:r>
      <w:r>
        <w:rPr>
          <w:rFonts w:ascii="Times New Roman" w:hAnsi="Times New Roman"/>
          <w:b w:val="false"/>
          <w:i/>
          <w:color w:val="000000"/>
          <w:sz w:val="22"/>
        </w:rPr>
        <w:t xml:space="preserve">Appeal by party. </w:t>
      </w:r>
      <w:r>
        <w:rPr>
          <w:rFonts w:ascii="Times New Roman" w:hAnsi="Times New Roman"/>
          <w:b w:val="false"/>
          <w:i w:val="false"/>
          <w:color w:val="000000"/>
          <w:sz w:val="22"/>
        </w:rPr>
        <w:t>Any adversely affected party may appeal a proposed decision to the agency within 30 days after the decision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2506.27(2)</w:t>
      </w:r>
      <w:r>
        <w:rPr>
          <w:rFonts w:ascii="Times New Roman" w:hAnsi="Times New Roman"/>
          <w:b w:val="false"/>
          <w:i w:val="false"/>
          <w:color w:val="000000"/>
          <w:sz w:val="22"/>
        </w:rPr>
        <w:t> </w:t>
      </w:r>
      <w:r>
        <w:rPr>
          <w:rFonts w:ascii="Times New Roman" w:hAnsi="Times New Roman"/>
          <w:b w:val="false"/>
          <w:i/>
          <w:color w:val="000000"/>
          <w:sz w:val="22"/>
        </w:rPr>
        <w:t xml:space="preserve">Review. </w:t>
      </w:r>
      <w:r>
        <w:rPr>
          <w:rFonts w:ascii="Times New Roman" w:hAnsi="Times New Roman"/>
          <w:b w:val="false"/>
          <w:i w:val="false"/>
          <w:color w:val="000000"/>
          <w:sz w:val="22"/>
        </w:rPr>
        <w:t>The agency may initiate review of a proposed decision on its own motion at any time within 30 days following the issuance of such a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2506.27(3)</w:t>
      </w:r>
      <w:r>
        <w:rPr>
          <w:rFonts w:ascii="Times New Roman" w:hAnsi="Times New Roman"/>
          <w:b w:val="false"/>
          <w:i w:val="false"/>
          <w:color w:val="000000"/>
          <w:sz w:val="22"/>
        </w:rPr>
        <w:t> </w:t>
      </w:r>
      <w:r>
        <w:rPr>
          <w:rFonts w:ascii="Times New Roman" w:hAnsi="Times New Roman"/>
          <w:b w:val="false"/>
          <w:i/>
          <w:color w:val="000000"/>
          <w:sz w:val="22"/>
        </w:rPr>
        <w:t xml:space="preserve">Notice of appeal. </w:t>
      </w:r>
      <w:r>
        <w:rPr>
          <w:rFonts w:ascii="Times New Roman" w:hAnsi="Times New Roman"/>
          <w:b w:val="false"/>
          <w:i w:val="false"/>
          <w:color w:val="000000"/>
          <w:sz w:val="22"/>
        </w:rPr>
        <w:t>An appeal of a proposed decision is initiated by filing a timely notice of appeal with the agency. The notice of appeal is to be signed by the appealing party or a representative of that party and contain a certificate of service. The notice will specify: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parties initiating the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proposed decision or order appealed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specific findings or conclusions to which exception is taken and any other exceptions to the decision or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relief sought;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grounds for relief.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2506.27(4)</w:t>
      </w:r>
      <w:r>
        <w:rPr>
          <w:rFonts w:ascii="Times New Roman" w:hAnsi="Times New Roman"/>
          <w:b w:val="false"/>
          <w:i w:val="false"/>
          <w:color w:val="000000"/>
          <w:sz w:val="22"/>
        </w:rPr>
        <w:t> </w:t>
      </w:r>
      <w:r>
        <w:rPr>
          <w:rFonts w:ascii="Times New Roman" w:hAnsi="Times New Roman"/>
          <w:b w:val="false"/>
          <w:i/>
          <w:color w:val="000000"/>
          <w:sz w:val="22"/>
        </w:rPr>
        <w:t xml:space="preserve">Requests to present additional evidence. </w:t>
      </w:r>
      <w:r>
        <w:rPr>
          <w:rFonts w:ascii="Times New Roman" w:hAnsi="Times New Roman"/>
          <w:b w:val="false"/>
          <w:i w:val="false"/>
          <w:color w:val="000000"/>
          <w:sz w:val="22"/>
        </w:rPr>
        <w:t>A party may request to submit additional evidence. The request must be filed with the notice of appeal, if by an appealing party, or within 14 days of service of the notice of appeal, if by a non-appealing party. The agency will take additional evidence only if the party establishes that the evidence is material, that good cause existed for its not being presented at the hearing, and that the party has not waived the right to present the evidence. The agency may remand a case to the presiding officer to take additional evidence or may itself preside at the taking of additional evidence.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2506.27(5)</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agency will issue a schedule for consideration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2506.27(6)</w:t>
      </w:r>
      <w:r>
        <w:rPr>
          <w:rFonts w:ascii="Times New Roman" w:hAnsi="Times New Roman"/>
          <w:b w:val="false"/>
          <w:i w:val="false"/>
          <w:color w:val="000000"/>
          <w:sz w:val="22"/>
        </w:rPr>
        <w:t> </w:t>
      </w:r>
      <w:r>
        <w:rPr>
          <w:rFonts w:ascii="Times New Roman" w:hAnsi="Times New Roman"/>
          <w:b w:val="false"/>
          <w:i/>
          <w:color w:val="000000"/>
          <w:sz w:val="22"/>
        </w:rPr>
        <w:t xml:space="preserve">Briefs and arguments. </w:t>
      </w:r>
      <w:r>
        <w:rPr>
          <w:rFonts w:ascii="Times New Roman" w:hAnsi="Times New Roman"/>
          <w:b w:val="false"/>
          <w:i w:val="false"/>
          <w:color w:val="000000"/>
          <w:sz w:val="22"/>
        </w:rPr>
        <w:t>Unless otherwise ordered, within 20 days of the notice of appeal or order for review, each appealing party may file exceptions and briefs. Within 20 days thereafter, any party may file a responsive brief. Briefs will include any applicable legal authority and specify relevant portions of the record in that proceeding. Written requests to present oral argument will be filed with the briefs. The agency may resolve the appeal on the briefs or provide an opportunity for oral argument. The agency may shorten or extend the briefing period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0190D</w:t>
      </w:r>
      <w:r>
        <w:rPr>
          <w:rFonts w:ascii="Times New Roman" w:hAnsi="Times New Roman"/>
          <w:b w:val="false"/>
          <w:i w:val="false"/>
          <w:color w:val="000000"/>
          <w:sz w:val="16"/>
        </w:rPr>
        <w:t>, IAB 4/1/26, effective 5/6/26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