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impose obligations to submit briefs, issue a proposed decision, and issue orders and rulings to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2506.20(2)</w:t>
      </w:r>
      <w:r>
        <w:rPr>
          <w:rFonts w:ascii="Times New Roman" w:hAnsi="Times New Roman"/>
          <w:b w:val="false"/>
          <w:i w:val="false"/>
          <w:color w:val="000000"/>
          <w:sz w:val="22"/>
        </w:rPr>
        <w:t> </w:t>
      </w:r>
      <w:r>
        <w:rPr>
          <w:rFonts w:ascii="Times New Roman" w:hAnsi="Times New Roman"/>
          <w:b w:val="false"/>
          <w:i w:val="false"/>
          <w:color w:val="000000"/>
          <w:sz w:val="22"/>
        </w:rPr>
        <w:t>All objections must be made timely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2506.20(3)</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have the right to participate or to be represented in all hearings or prehearing conferences related to their case. Partnerships, corporations, limited-liability companies, and associations may be represented by any member, officer, director, or duly authorized agent. Any party may be represented by an attorney or another person authorized by law. An attorney admitted pro hoc vice in accordance with the Iowa rules of court to practice in an agency administrative action in accordance with </w:t>
      </w:r>
      <w:r>
        <w:rPr>
          <w:rFonts w:ascii="Times New Roman" w:hAnsi="Times New Roman"/>
          <w:b w:val="false"/>
          <w:i w:val="false"/>
          <w:color w:val="000000"/>
          <w:sz w:val="22"/>
        </w:rPr>
        <w:t>Iowa Court Rule 31.14</w:t>
      </w:r>
      <w:r>
        <w:rPr>
          <w:rFonts w:ascii="Times New Roman" w:hAnsi="Times New Roman"/>
          <w:b w:val="false"/>
          <w:i w:val="false"/>
          <w:color w:val="000000"/>
          <w:sz w:val="22"/>
        </w:rPr>
        <w:t xml:space="preserve"> is obligated to have an in-state attorney present at every interaction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must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will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will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will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