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must state the grounds for the proposed intervention, the position and interest of the proposed intervenor, and the possible impact of intervention on the proceeding. The proposed intervenor must attach a proposed answer or petition in intervention, as appropriate,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A motion for leave to intervene must be filed as early as possible to avoid prejudice on existing parties or the conduct of the proceeding and, at any rate, before the prehearing conference, if any, or at least 20 days before the date scheduled for hearing. Later motions must show good cause for being untimely. Unless inequitable or unjust, an intervenor is bound by any agreement, arrangement, or other matter previously raised in the case. Requests by untimely intervenors for continuances that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proposed intervenor must show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Its interests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A person granted leave to intervene is a party to the proceeding. If appropriate, the presiding officer may order consolidation of the petitions and briefs of different parties whose interests are aligned with each other and limit the number of representatives allowed to participate actively in the proceedings. The order granting intervention may limit the issues the intervenor is allowed to raise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