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party requesting a contested case proceeding may withdraw that request only in accordance with agency rules. Unless otherwise provided, a withdrawal will be with prejudice.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