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will be filed not less than seven days before the hearing date. A prehearing conference will be scheduled not less than three business days before the hearing date. The presiding officer may change these deadlines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2506.16(2)</w:t>
      </w:r>
      <w:r>
        <w:rPr>
          <w:rFonts w:ascii="Times New Roman" w:hAnsi="Times New Roman"/>
          <w:b w:val="false"/>
          <w:i w:val="false"/>
          <w:color w:val="000000"/>
          <w:sz w:val="22"/>
        </w:rPr>
        <w:t> </w:t>
      </w:r>
      <w:r>
        <w:rPr>
          <w:rFonts w:ascii="Times New Roman" w:hAnsi="Times New Roman"/>
          <w:b w:val="false"/>
          <w:i w:val="false"/>
          <w:color w:val="000000"/>
          <w:sz w:val="22"/>
        </w:rPr>
        <w:t>Witness and exhibit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party will bring to the prehearing conference a final list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witnesses whom the party anticipates will testify at hearing. Unless there is good cause for the omission, the presiding officer may exclude the testimony of unlisted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Exhibits that the party anticipates will be introduced at hearing. Unless there is good cause for the omission, the presiding officer may exclude unlisted, non-rebuttal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are to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2506.16(3)</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Stipulate to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Stipulate to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are obligated to exchange and receive witness and exhibit lists before the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