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7—2506.14</w:t>
      </w:r>
      <w:r>
        <w:rPr>
          <w:rFonts w:ascii="Times New Roman" w:hAnsi="Times New Roman"/>
          <w:b/>
          <w:i w:val="false"/>
          <w:color w:val="000000"/>
          <w:sz w:val="22"/>
        </w:rPr>
        <w:t xml:space="preserve">(17A)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presiding officer must issue a subpoena upon a party’s written request. Unless there is good cause, a party must request a witness subpoena at least three days before the scheduled hearing. The request will include the name, address, email,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otherwise set forth by law, parties are responsible for serving their own subpoenas and for paying witness fees and mileage expenses. Subpoenas that do not include the required witness fees and mileage expenses are not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2506.14(2)</w:t>
      </w:r>
      <w:r>
        <w:rPr>
          <w:rFonts w:ascii="Times New Roman" w:hAnsi="Times New Roman"/>
          <w:b w:val="false"/>
          <w:i w:val="false"/>
          <w:color w:val="000000"/>
          <w:sz w:val="22"/>
        </w:rPr>
        <w:t> </w:t>
      </w:r>
      <w:r>
        <w:rPr>
          <w:rFonts w:ascii="Times New Roman" w:hAnsi="Times New Roman"/>
          <w:b w:val="false"/>
          <w:i/>
          <w:color w:val="000000"/>
          <w:sz w:val="22"/>
        </w:rPr>
        <w:t xml:space="preserve">Motion to quash or modify. </w:t>
      </w:r>
      <w:r>
        <w:rPr>
          <w:rFonts w:ascii="Times New Roman" w:hAnsi="Times New Roman"/>
          <w:b w:val="false"/>
          <w:i w:val="false"/>
          <w:color w:val="000000"/>
          <w:sz w:val="22"/>
        </w:rPr>
        <w:t>The presiding officer may quash or modify a subpoena in accordance with the Iowa Rules of Civil Procedure. A motion to quash or modify a subpoena will be set for argument promptly.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