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2506.13(1)</w:t>
      </w:r>
      <w:r>
        <w:rPr>
          <w:rFonts w:ascii="Times New Roman" w:hAnsi="Times New Roman"/>
          <w:b w:val="false"/>
          <w:i w:val="false"/>
          <w:color w:val="000000"/>
          <w:sz w:val="22"/>
        </w:rPr>
        <w:t> </w:t>
      </w:r>
      <w:r>
        <w:rPr>
          <w:rFonts w:ascii="Times New Roman" w:hAnsi="Times New Roman"/>
          <w:b w:val="false"/>
          <w:i w:val="false"/>
          <w:color w:val="000000"/>
          <w:sz w:val="22"/>
        </w:rPr>
        <w:t xml:space="preserve">Discovery procedures applicable in civil actions are applicable in contested cases. Unless lengthened or shortened by these rules or by order of the presiding officer, time periods for compliance with discovery are as set forth in the Iowa Rules of Civil Procedure. No new discovery under Iowa Rules of Civil Procedure </w:t>
      </w:r>
      <w:r>
        <w:rPr>
          <w:rFonts w:ascii="Times New Roman" w:hAnsi="Times New Roman"/>
          <w:b w:val="false"/>
          <w:i w:val="false"/>
          <w:color w:val="000000"/>
          <w:sz w:val="22"/>
        </w:rPr>
        <w:t>1.509</w:t>
      </w:r>
      <w:r>
        <w:rPr>
          <w:rFonts w:ascii="Times New Roman" w:hAnsi="Times New Roman"/>
          <w:b w:val="false"/>
          <w:i w:val="false"/>
          <w:color w:val="000000"/>
          <w:sz w:val="22"/>
        </w:rPr>
        <w:t xml:space="preserve">, </w:t>
      </w:r>
      <w:r>
        <w:rPr>
          <w:rFonts w:ascii="Times New Roman" w:hAnsi="Times New Roman"/>
          <w:b w:val="false"/>
          <w:i w:val="false"/>
          <w:color w:val="000000"/>
          <w:sz w:val="22"/>
        </w:rPr>
        <w:t>1.510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1.512</w:t>
      </w:r>
      <w:r>
        <w:rPr>
          <w:rFonts w:ascii="Times New Roman" w:hAnsi="Times New Roman"/>
          <w:b w:val="false"/>
          <w:i w:val="false"/>
          <w:color w:val="000000"/>
          <w:sz w:val="22"/>
        </w:rPr>
        <w:t xml:space="preserve"> may be served within 40 days of the scheduled hearing. All discovery must be completed no later than ten days before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2506.13(2)</w:t>
      </w:r>
      <w:r>
        <w:rPr>
          <w:rFonts w:ascii="Times New Roman" w:hAnsi="Times New Roman"/>
          <w:b w:val="false"/>
          <w:i w:val="false"/>
          <w:color w:val="000000"/>
          <w:sz w:val="22"/>
        </w:rPr>
        <w:t> </w:t>
      </w:r>
      <w:r>
        <w:rPr>
          <w:rFonts w:ascii="Times New Roman" w:hAnsi="Times New Roman"/>
          <w:b w:val="false"/>
          <w:i w:val="false"/>
          <w:color w:val="000000"/>
          <w:sz w:val="22"/>
        </w:rPr>
        <w:t>Parties must not file motions relating to discovery unless they have first in good faith attempted to resolve the issue with the opposing party. A party filing a discovery motion must certify, under penalty of perjury, that it has made that good-faith attempt. Lack of such a certificate constitutes sufficient grounds for denying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shortened in accordance with subrule </w:t>
      </w:r>
      <w:hyperlink r:id="rId4">
        <w:r>
          <w:rPr>
            <w:rStyle w:val="Hyperlink"/>
            <w:rFonts w:ascii="Times New Roman" w:hAnsi="Times New Roman"/>
            <w:b w:val="false"/>
            <w:i w:val="false"/>
            <w:color w:val="000000"/>
            <w:sz w:val="22"/>
          </w:rPr>
          <w:t>2506.13(1)</w:t>
        </w:r>
      </w:hyperlink>
      <w:r>
        <w:rPr>
          <w:rFonts w:ascii="Times New Roman" w:hAnsi="Times New Roman"/>
          <w:b w:val="false"/>
          <w:i w:val="false"/>
          <w:color w:val="000000"/>
          <w:sz w:val="22"/>
        </w:rPr>
        <w:t>, a discovery motion is ripe for ruling by the presiding officer ten days after the motion is filed. Opposing parties may file a response within that time. The presiding officer may order argument or rule on the parties’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2506.13(4)</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1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