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7—2506.103</w:t>
      </w:r>
      <w:r>
        <w:rPr>
          <w:rFonts w:ascii="Times New Roman" w:hAnsi="Times New Roman"/>
          <w:b/>
          <w:i w:val="false"/>
          <w:color w:val="000000"/>
          <w:sz w:val="22"/>
        </w:rPr>
        <w:t xml:space="preserve">(17A) </w:t>
      </w:r>
      <w:r>
        <w:rPr>
          <w:rFonts w:ascii="Times New Roman" w:hAnsi="Times New Roman"/>
          <w:b/>
          <w:i w:val="false"/>
          <w:color w:val="000000"/>
          <w:sz w:val="22"/>
        </w:rPr>
        <w:t xml:space="preserve">Vendor appeal stages.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2506.103(1)</w:t>
      </w:r>
      <w:r>
        <w:rPr>
          <w:rFonts w:ascii="Times New Roman" w:hAnsi="Times New Roman"/>
          <w:b w:val="false"/>
          <w:i w:val="false"/>
          <w:color w:val="000000"/>
          <w:sz w:val="22"/>
        </w:rPr>
        <w:t> </w:t>
      </w:r>
      <w:r>
        <w:rPr>
          <w:rFonts w:ascii="Times New Roman" w:hAnsi="Times New Roman"/>
          <w:b w:val="false"/>
          <w:i/>
          <w:color w:val="000000"/>
          <w:sz w:val="22"/>
        </w:rPr>
        <w:t xml:space="preserve">First-tier review. </w:t>
      </w:r>
      <w:r>
        <w:rPr>
          <w:rFonts w:ascii="Times New Roman" w:hAnsi="Times New Roman"/>
          <w:b w:val="false"/>
          <w:i w:val="false"/>
          <w:color w:val="000000"/>
          <w:sz w:val="22"/>
        </w:rPr>
        <w:t>Once the appeal is filed and any responses are received, the agency will review the case internally and issue a decision upholding, changing, or reversing the original award decision. The agency’s decision is final unless the appealing vendor requests a second-tier review within the time frame identified in the solicitation document for seeking second-tier review or, if no time frame is so identified, five days from the issuance of the first-tier review. Failure to seek a second-tier review constitutes waiver of any right to seek a second-tier review and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2506.103(2)</w:t>
      </w:r>
      <w:r>
        <w:rPr>
          <w:rFonts w:ascii="Times New Roman" w:hAnsi="Times New Roman"/>
          <w:b w:val="false"/>
          <w:i w:val="false"/>
          <w:color w:val="000000"/>
          <w:sz w:val="22"/>
        </w:rPr>
        <w:t> </w:t>
      </w:r>
      <w:r>
        <w:rPr>
          <w:rFonts w:ascii="Times New Roman" w:hAnsi="Times New Roman"/>
          <w:b w:val="false"/>
          <w:i/>
          <w:color w:val="000000"/>
          <w:sz w:val="22"/>
        </w:rPr>
        <w:t xml:space="preserve">Second-tier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Appeal hearing. </w:t>
      </w:r>
      <w:r>
        <w:rPr>
          <w:rFonts w:ascii="Times New Roman" w:hAnsi="Times New Roman"/>
          <w:b w:val="false"/>
          <w:i w:val="false"/>
          <w:color w:val="000000"/>
          <w:sz w:val="22"/>
        </w:rPr>
        <w:t xml:space="preserve">A vendor aggrieved by an agency’s first-tier review may seek a second-tier review by filing a notice seeking second-tier review with the agency within five days of issuance of the first-tier review decision. The second-tier review request must comply with subrule </w:t>
      </w:r>
      <w:hyperlink r:id="rId4">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xml:space="preserve">, except that it must refer to the first-tier review decision instead of the award decision. Upon receipt of a vendor’s request for a second-tier review, the agency will schedule a hearing before an administrative law judge from the department of inspections, appeals, and licensing. The second-tier review hearing will be held within 60 days after the request for a second-tier review, subject to good cause exceptions as set forth in subrule </w:t>
      </w:r>
      <w:hyperlink r:id="rId5">
        <w:r>
          <w:rPr>
            <w:rStyle w:val="Hyperlink"/>
            <w:rFonts w:ascii="Times New Roman" w:hAnsi="Times New Roman"/>
            <w:b w:val="false"/>
            <w:i w:val="false"/>
            <w:color w:val="000000"/>
            <w:sz w:val="22"/>
          </w:rPr>
          <w:t>2506.3(2)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security. </w:t>
      </w:r>
      <w:r>
        <w:rPr>
          <w:rFonts w:ascii="Times New Roman" w:hAnsi="Times New Roman"/>
          <w:b w:val="false"/>
          <w:i w:val="false"/>
          <w:color w:val="000000"/>
          <w:sz w:val="22"/>
        </w:rPr>
        <w:t>At the same time as it submits a second-tier review request, the appealing vendor must submit an additional appeal bond to the extent required in the solicitation document. An agency has discretion to require a second bond in an amount up to 10 percent of the value of the contract that is the subject of the appeal, including all extension years available under the contract awarded. If the vendor does not satisfy the bond requirement, the agency will dismiss the second-tier review. The appeal bond will be forfeited if the vendor’s claims are determined to be unreasonable, frivolous, or for purposes of delaying the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Any party may seek reasonable discovery of information directly relevant to the issues that are the subject of the appeal. Overly broad or burdensome discovery requests are not allowed. Discovery issued to the agency is limited to events occurring at the agency that relate to the solicitation process. Issues not subject to discovery include the agency’s existing relationships with other bidders. As a condition of requesting a second-tier review, the appellant is obligated to promptly respond to discovery requests made by any party defending the award. Any party defending the award may seek discovery from appellant of any matters that could affect the fairness of the solicitation process, including whether the appellant failed to disclose information relevant to the award process that would have resulted in its disqualification or that appellant engaged in previously unreported inappropriate contact that would have resulted in its disqualification. An appellant that would have been disqualified is not prejudiced by the award decision and lacks standing to challenge it. Confidential or proprietary information may be shared by the parties to the appeal in accordance with a protective order acceptable to the agency. All discovery requests will be made no later than five days after the request for a second-tier review is submitted. Parties must completely respond or object to discovery requests within 30 days of receipt. A party that objects to discovery requests must submit its objection to the requesting parties within ten days of receiving the discovery requests. Sanctions will be imposed for abuse of the discovery process, potentially including adverse inferences and dismissal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At least ten days before the hearing, the parties will contact each other to discuss proposed witnesses and exhibits. Final witness and exhibit lists will be exchanged no later than seven days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Second-tier hearing and decision. </w:t>
      </w:r>
      <w:r>
        <w:rPr>
          <w:rFonts w:ascii="Times New Roman" w:hAnsi="Times New Roman"/>
          <w:b w:val="false"/>
          <w:i w:val="false"/>
          <w:color w:val="000000"/>
          <w:sz w:val="22"/>
        </w:rPr>
        <w:t>The hearing will be transcribed by a court reporter arranged and paid for by the parties with the costs shared equally unless all parties to an appeal and the presiding officer agree to an alternative approach to record the proceeding. In the event the presiding officer orders post-hearing briefing, the following post-hearing schedule applies unless the parties agree to and the presiding officer orders a different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appellant post-hearing brief is due ten days after the presiding officer closes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appellee or intervenor post-hearing brief is due ten days after receiving the appellant’s brief,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appellant reply brief is due ten days after receiving the appellee or intervenor post-hearing brief.</w:t>
      </w:r>
    </w:p>
    <w:p>
      <w:pPr>
        <w:spacing w:before="0" w:after="0"/>
        <w:ind w:left="120"/>
        <w:jc w:val="both"/>
      </w:pPr>
      <w:r>
        <w:rPr>
          <w:rFonts w:ascii="Times New Roman" w:hAnsi="Times New Roman"/>
          <w:b w:val="false"/>
          <w:i w:val="false"/>
          <w:color w:val="000000"/>
          <w:sz w:val="22"/>
        </w:rPr>
        <w:t>Following the close of post-hearing briefing, the administrative law judge will issue a proposed decision, which will become the final agency decision unless a party seeks a third-tier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2506.103(3)</w:t>
      </w:r>
      <w:r>
        <w:rPr>
          <w:rFonts w:ascii="Times New Roman" w:hAnsi="Times New Roman"/>
          <w:b w:val="false"/>
          <w:i w:val="false"/>
          <w:color w:val="000000"/>
          <w:sz w:val="22"/>
        </w:rPr>
        <w:t> </w:t>
      </w:r>
      <w:r>
        <w:rPr>
          <w:rFonts w:ascii="Times New Roman" w:hAnsi="Times New Roman"/>
          <w:b w:val="false"/>
          <w:i/>
          <w:color w:val="000000"/>
          <w:sz w:val="22"/>
        </w:rPr>
        <w:t xml:space="preserve">Third-tier review and decision. </w:t>
      </w:r>
      <w:r>
        <w:rPr>
          <w:rFonts w:ascii="Times New Roman" w:hAnsi="Times New Roman"/>
          <w:b w:val="false"/>
          <w:i w:val="false"/>
          <w:color w:val="000000"/>
          <w:sz w:val="22"/>
        </w:rPr>
        <w:t xml:space="preserve">A party aggrieved by an agency’s second-tier review may seek a third-tier review by filing a notice seeking third-tier review with the agency. The deadline to file this notice is five days after the proposed decision on the second-tier review is issued. The third-tier review request must comply with subrule </w:t>
      </w:r>
      <w:hyperlink r:id="rId6">
        <w:r>
          <w:rPr>
            <w:rStyle w:val="Hyperlink"/>
            <w:rFonts w:ascii="Times New Roman" w:hAnsi="Times New Roman"/>
            <w:b w:val="false"/>
            <w:i w:val="false"/>
            <w:color w:val="000000"/>
            <w:sz w:val="22"/>
          </w:rPr>
          <w:t>2506.102(3)</w:t>
        </w:r>
      </w:hyperlink>
      <w:r>
        <w:rPr>
          <w:rFonts w:ascii="Times New Roman" w:hAnsi="Times New Roman"/>
          <w:b w:val="false"/>
          <w:i w:val="false"/>
          <w:color w:val="000000"/>
          <w:sz w:val="22"/>
        </w:rPr>
        <w:t>, except that it must refer to the second-tier review decision instead of the award decision. The party appealing must submit the entire record from the second-tier review, including any transcripts or recordings, at its own cost. Any non-appealing party may file a response to the request. No additional briefing or argument is allowed at the third-tier review stage absent an agency’s request. The agency will thereafter expeditiously issue the final agency decision, which will constitute final agency action on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2506.102.pdf" Type="http://schemas.openxmlformats.org/officeDocument/2006/relationships/hyperlink" Id="rId4"/>
    <Relationship TargetMode="External" Target="https://www.legis.iowa.gov/docs/iac/rule/7.2506.3.pdf" Type="http://schemas.openxmlformats.org/officeDocument/2006/relationships/hyperlink" Id="rId5"/>
    <Relationship TargetMode="External" Target="https://www.legis.iowa.gov/docs/iac/rule/7.2506.10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