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491—2506.11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Pleadings in contested cases.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Filing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Filing requirements may be imposed by rule, by the notice of hearing, or by order of the presiding officer. However, pleadings other than a notice of appeal will not be required in appeals from a licensing decision by a gaming representative, gaming board, or board of stewards.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