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441—90.7</w:t>
      </w:r>
      <w:r>
        <w:rPr>
          <w:rFonts w:ascii="Times New Roman" w:hAnsi="Times New Roman"/>
          <w:b/>
          <w:i w:val="false"/>
          <w:color w:val="000000"/>
          <w:sz w:val="22"/>
        </w:rPr>
        <w:t xml:space="preserve">(249A) </w:t>
      </w:r>
      <w:r>
        <w:rPr>
          <w:rFonts w:ascii="Times New Roman" w:hAnsi="Times New Roman"/>
          <w:b/>
          <w:i w:val="false"/>
          <w:color w:val="000000"/>
          <w:sz w:val="22"/>
        </w:rPr>
        <w:t xml:space="preserve">Case management services provider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90.7(1)</w:t>
      </w:r>
      <w:r>
        <w:rPr>
          <w:rFonts w:ascii="Times New Roman" w:hAnsi="Times New Roman"/>
          <w:b w:val="false"/>
          <w:i w:val="false"/>
          <w:color w:val="000000"/>
          <w:sz w:val="22"/>
        </w:rPr>
        <w:t> </w:t>
      </w:r>
      <w:r>
        <w:rPr>
          <w:rFonts w:ascii="Times New Roman" w:hAnsi="Times New Roman"/>
          <w:b w:val="false"/>
          <w:i w:val="false"/>
          <w:color w:val="000000"/>
          <w:sz w:val="22"/>
        </w:rPr>
        <w:t>This rule applies to all categories of case management and all populations covered by case management. Major or minor incidents shall be reported according to the case management incident reporting manual available on the department’s website and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90.7(2)</w:t>
      </w:r>
      <w:r>
        <w:rPr>
          <w:rFonts w:ascii="Times New Roman" w:hAnsi="Times New Roman"/>
          <w:b w:val="false"/>
          <w:i w:val="false"/>
          <w:color w:val="000000"/>
          <w:sz w:val="22"/>
        </w:rPr>
        <w:t> </w:t>
      </w:r>
      <w:r>
        <w:rPr>
          <w:rFonts w:ascii="Times New Roman" w:hAnsi="Times New Roman"/>
          <w:b w:val="false"/>
          <w:i w:val="false"/>
          <w:color w:val="000000"/>
          <w:sz w:val="22"/>
        </w:rPr>
        <w:t>Quality assurance. Case management services providers shall cooperate with quality assurance activities conducted by Iowa Medicaid, as well as any other state or federal entity with oversight authority to ensure the health, safety, and welfare of Medicaid members. These activities may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Postpayment review of case management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Review of incident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 of reports of abuse or neglect;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Technical assistance in determining the need for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0319D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