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441—90.6</w:t>
      </w:r>
      <w:r>
        <w:rPr>
          <w:rFonts w:ascii="Times New Roman" w:hAnsi="Times New Roman"/>
          <w:b/>
          <w:i w:val="false"/>
          <w:color w:val="000000"/>
          <w:sz w:val="22"/>
        </w:rPr>
        <w:t xml:space="preserve">(249A) </w:t>
      </w:r>
      <w:r>
        <w:rPr>
          <w:rFonts w:ascii="Times New Roman" w:hAnsi="Times New Roman"/>
          <w:b/>
          <w:i w:val="false"/>
          <w:color w:val="000000"/>
          <w:sz w:val="22"/>
        </w:rPr>
        <w:t xml:space="preserve">Documentation and billing. </w:t>
      </w:r>
      <w:r>
        <w:rPr>
          <w:rFonts w:ascii="Times New Roman" w:hAnsi="Times New Roman"/>
          <w:b w:val="false"/>
          <w:i w:val="false"/>
          <w:color w:val="000000"/>
          <w:sz w:val="22"/>
        </w:rPr>
        <w:t>This rule applies to all categories of case management and all populations covered by case management. The case management billing manual for case management contact documentation and billing requirements available on the department’s website and as amended to July 1, 2026, contains more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