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Rights restrictions.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all categories of case management and all populations covered by case management. Any effort to restrict the rights of a member, or the member’s preferences or goals must be justified by a specific individualized assessed safety need and documented in the person-centered service plan. For more information, refer to the Person Centered Service Plan manual as amended to July 1, 2026, available on the department’s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