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441—90.4</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w:t>
      </w:r>
      <w:r>
        <w:rPr>
          <w:rFonts w:ascii="Times New Roman" w:hAnsi="Times New Roman"/>
          <w:b w:val="false"/>
          <w:i w:val="false"/>
          <w:color w:val="000000"/>
          <w:sz w:val="22"/>
        </w:rPr>
        <w:t>This rule applies to all categories of case management and all populations covered by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The following shall be included in FFS case management services provided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Initial assessments and regular reassessments must be completed for each member to determine the need for medical, social, educational, housing, transportation, vocational, or other services, as specified in the Medicaid manual for TCM found on the department’s website and as amended through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w:t>
      </w:r>
      <w:r>
        <w:rPr>
          <w:rFonts w:ascii="Times New Roman" w:hAnsi="Times New Roman"/>
          <w:b w:val="false"/>
          <w:i w:val="false"/>
          <w:color w:val="000000"/>
          <w:sz w:val="22"/>
        </w:rPr>
        <w:t xml:space="preserve">The case manager shall develop and revise a comprehensive, person-centered service plan at least every 365 days in accordance with the Medicaid manual for TCM found on the department’s website and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and follow-up. </w:t>
      </w:r>
      <w:r>
        <w:rPr>
          <w:rFonts w:ascii="Times New Roman" w:hAnsi="Times New Roman"/>
          <w:b w:val="false"/>
          <w:i w:val="false"/>
          <w:color w:val="000000"/>
          <w:sz w:val="22"/>
        </w:rPr>
        <w:t xml:space="preserve">The case manager shall perform monitoring activities and make contacts that are necessary to ensure the health, safety, and welfare of the member and to ensure that the person-centered service plan is effectively implemented and adequately addresses the needs of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Contacts. </w:t>
      </w:r>
      <w:r>
        <w:rPr>
          <w:rFonts w:ascii="Times New Roman" w:hAnsi="Times New Roman"/>
          <w:b w:val="false"/>
          <w:i w:val="false"/>
          <w:color w:val="000000"/>
          <w:sz w:val="22"/>
        </w:rPr>
        <w:t>The case manager shall have at least one face-to-face contact with the member in the member’s residence at least quarterly. The case manager shall have at least one contact per month with the member or the member’s guardians or representatives. This contact may be face-to-face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Payment will not be made for activities otherwise within the definition of case management services when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activities are an integral component of another covered Medicaid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constitute the direct delivery of underlying medical, social, educational, housing, transportation, vocational or other services to which a member has been referred.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activities are components of the administration of foster care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for which a member may be eligible are a component of the administration of another nonmedical program, such as a guardianship, child welfare or child protective services, parole, probation, or special education program, except for case management that is included in an individualized education program or individualized family service plan consistent with </w:t>
      </w:r>
      <w:r>
        <w:rPr>
          <w:rFonts w:ascii="Times New Roman" w:hAnsi="Times New Roman"/>
          <w:b w:val="false"/>
          <w:i w:val="false"/>
          <w:color w:val="000000"/>
          <w:sz w:val="22"/>
        </w:rPr>
        <w:t>Section 1903(c) of the Social Security Act</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activities duplicate institutional discharge planning.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