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A service plan will be prepared and utilized for each HCBS BI waiver member. The service plan will be developed by an interdisciplinary team that includes the member, and, if appropriate, the legal representative, member’s family, case manager, providers, and others directly involved. The service plan will be stored by the case manager for a minimum of three years. The service plan staffing will be conducted before the current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83.87(1)</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will be in accordance with </w:t>
      </w:r>
      <w:hyperlink r:id="rId4">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will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member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living environment at the time of waiver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per day of on-site staff supervision needed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other waiver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justification of any restriction of a member’s rights,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of all providers responsible for providing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service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elected the member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member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83.87(2)</w:t>
      </w:r>
      <w:r>
        <w:rPr>
          <w:rFonts w:ascii="Times New Roman" w:hAnsi="Times New Roman"/>
          <w:b w:val="false"/>
          <w:i w:val="false"/>
          <w:color w:val="000000"/>
          <w:sz w:val="22"/>
        </w:rPr>
        <w:t> </w:t>
      </w:r>
      <w:r>
        <w:rPr>
          <w:rFonts w:ascii="Times New Roman" w:hAnsi="Times New Roman"/>
          <w:b w:val="false"/>
          <w:i/>
          <w:color w:val="000000"/>
          <w:sz w:val="22"/>
        </w:rPr>
        <w:t xml:space="preserve">Use of nonwaiver services. </w:t>
      </w:r>
      <w:r>
        <w:rPr>
          <w:rFonts w:ascii="Times New Roman" w:hAnsi="Times New Roman"/>
          <w:b w:val="false"/>
          <w:i w:val="false"/>
          <w:color w:val="000000"/>
          <w:sz w:val="22"/>
        </w:rPr>
        <w:t>Service plans must be developed to reflect use of all appropriate nonwaiver Medicaid services and so as not to replace or duplicate those services. Service plans for members aged 16 or under that include supported community living services beyond intermittent must be approved (signed and dated) by the designee of the department. The Medicaid case manager will attach a written request for a variance from the limitation on supported community living to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83.87(3)</w:t>
      </w:r>
      <w:r>
        <w:rPr>
          <w:rFonts w:ascii="Times New Roman" w:hAnsi="Times New Roman"/>
          <w:b w:val="false"/>
          <w:i w:val="false"/>
          <w:color w:val="000000"/>
          <w:sz w:val="22"/>
        </w:rPr>
        <w:t> </w:t>
      </w:r>
      <w:r>
        <w:rPr>
          <w:rFonts w:ascii="Times New Roman" w:hAnsi="Times New Roman"/>
          <w:b w:val="false"/>
          <w:i/>
          <w:color w:val="000000"/>
          <w:sz w:val="22"/>
        </w:rPr>
        <w:t xml:space="preserve">Annual assessment. </w:t>
      </w:r>
      <w:r>
        <w:rPr>
          <w:rFonts w:ascii="Times New Roman" w:hAnsi="Times New Roman"/>
          <w:b w:val="false"/>
          <w:i w:val="false"/>
          <w:color w:val="000000"/>
          <w:sz w:val="22"/>
        </w:rPr>
        <w:t xml:space="preserve">The department will assess the member annually and certify the member’s need for long-term care services. The department will be responsible for determining the level of care based on the completed information submission tool listed in paragraph </w:t>
      </w:r>
      <w:hyperlink r:id="rId5">
        <w:r>
          <w:rPr>
            <w:rStyle w:val="Hyperlink"/>
            <w:rFonts w:ascii="Times New Roman" w:hAnsi="Times New Roman"/>
            <w:b w:val="false"/>
            <w:i w:val="false"/>
            <w:color w:val="000000"/>
            <w:sz w:val="22"/>
          </w:rPr>
          <w:t>83.82(1)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83.87(4)</w:t>
      </w:r>
      <w:r>
        <w:rPr>
          <w:rFonts w:ascii="Times New Roman" w:hAnsi="Times New Roman"/>
          <w:b w:val="false"/>
          <w:i w:val="false"/>
          <w:color w:val="000000"/>
          <w:sz w:val="22"/>
        </w:rPr>
        <w:t> </w:t>
      </w:r>
      <w:r>
        <w:rPr>
          <w:rFonts w:ascii="Times New Roman" w:hAnsi="Times New Roman"/>
          <w:b w:val="false"/>
          <w:i/>
          <w:color w:val="000000"/>
          <w:sz w:val="22"/>
        </w:rPr>
        <w:t xml:space="preserve">Service file. </w:t>
      </w:r>
      <w:r>
        <w:rPr>
          <w:rFonts w:ascii="Times New Roman" w:hAnsi="Times New Roman"/>
          <w:b w:val="false"/>
          <w:i w:val="false"/>
          <w:color w:val="000000"/>
          <w:sz w:val="22"/>
        </w:rPr>
        <w:t>The Medicaid case manager must ensure that the member service file contains the member’s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4.4.pdf" Type="http://schemas.openxmlformats.org/officeDocument/2006/relationships/hyperlink" Id="rId4"/>
    <Relationship TargetMode="External" Target="https://www.legis.iowa.gov/docs/iac/rule/441.83.8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