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441—83.86</w:t>
      </w:r>
      <w:r>
        <w:rPr>
          <w:rFonts w:ascii="Times New Roman" w:hAnsi="Times New Roman"/>
          <w:b/>
          <w:i w:val="false"/>
          <w:color w:val="000000"/>
          <w:sz w:val="22"/>
        </w:rPr>
        <w:t xml:space="preserve">(249A) </w:t>
      </w:r>
      <w:r>
        <w:rPr>
          <w:rFonts w:ascii="Times New Roman" w:hAnsi="Times New Roman"/>
          <w:b/>
          <w:i w:val="false"/>
          <w:color w:val="000000"/>
          <w:sz w:val="22"/>
        </w:rPr>
        <w:t xml:space="preserve">Allowable services. </w:t>
      </w:r>
      <w:r>
        <w:rPr>
          <w:rFonts w:ascii="Times New Roman" w:hAnsi="Times New Roman"/>
          <w:b w:val="false"/>
          <w:i w:val="false"/>
          <w:color w:val="000000"/>
          <w:sz w:val="22"/>
        </w:rPr>
        <w:t xml:space="preserve">Services allowable under the brain injury waiver are case management, respite, personal emergency response, supported community living, behavioral programming, family counseling and training, home and vehicle modification, specialized medical equipment, prevocational services, transportation, supported employment, adult day care, member-directed attendant care, interim medical monitoring and treatment, financial management, independent support brokerage, self-directed personal care, self-directed community supports and employment, and individual-directed goods and services as set forth in rule </w:t>
      </w:r>
      <w:hyperlink r:id="rId4">
        <w:r>
          <w:rPr>
            <w:rStyle w:val="Hyperlink"/>
            <w:rFonts w:ascii="Times New Roman" w:hAnsi="Times New Roman"/>
            <w:b w:val="false"/>
            <w:i w:val="false"/>
            <w:color w:val="000000"/>
            <w:sz w:val="22"/>
          </w:rPr>
          <w:t>441—78.43</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4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