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441—83.84</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w:t>
      </w:r>
      <w:r>
        <w:rPr>
          <w:rFonts w:ascii="Times New Roman" w:hAnsi="Times New Roman"/>
          <w:b w:val="false"/>
          <w:i w:val="false"/>
          <w:color w:val="000000"/>
          <w:sz w:val="22"/>
        </w:rPr>
        <w:t xml:space="preserve">Members who are financially eligible under </w:t>
      </w:r>
      <w:hyperlink r:id="rId4">
        <w:r>
          <w:rPr>
            <w:rStyle w:val="Hyperlink"/>
            <w:rFonts w:ascii="Times New Roman" w:hAnsi="Times New Roman"/>
            <w:b w:val="false"/>
            <w:i w:val="false"/>
            <w:color w:val="000000"/>
            <w:sz w:val="22"/>
          </w:rPr>
          <w:t>441—paragraph 75.6(4)</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300 percent group) must contribute a predetermined participation amount to the cost of brain injury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83.84(1)</w:t>
      </w:r>
      <w:r>
        <w:rPr>
          <w:rFonts w:ascii="Times New Roman" w:hAnsi="Times New Roman"/>
          <w:b w:val="false"/>
          <w:i w:val="false"/>
          <w:color w:val="000000"/>
          <w:sz w:val="22"/>
        </w:rPr>
        <w:t> </w:t>
      </w:r>
      <w:r>
        <w:rPr>
          <w:rFonts w:ascii="Times New Roman" w:hAnsi="Times New Roman"/>
          <w:b w:val="false"/>
          <w:i/>
          <w:color w:val="000000"/>
          <w:sz w:val="22"/>
        </w:rPr>
        <w:t xml:space="preserve">Computation of client participation. </w:t>
      </w:r>
      <w:r>
        <w:rPr>
          <w:rFonts w:ascii="Times New Roman" w:hAnsi="Times New Roman"/>
          <w:b w:val="false"/>
          <w:i w:val="false"/>
          <w:color w:val="000000"/>
          <w:sz w:val="22"/>
        </w:rPr>
        <w:t>Client participation will be computed by deducting an amount for the maintenance needs of the member that is 300 percent of the maximum SSI grant for an individual from the member’s total income. For a couple, client participation is determined as if each person were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83.84(2)</w:t>
      </w:r>
      <w:r>
        <w:rPr>
          <w:rFonts w:ascii="Times New Roman" w:hAnsi="Times New Roman"/>
          <w:b w:val="false"/>
          <w:i w:val="false"/>
          <w:color w:val="000000"/>
          <w:sz w:val="22"/>
        </w:rPr>
        <w:t> </w:t>
      </w:r>
      <w:r>
        <w:rPr>
          <w:rFonts w:ascii="Times New Roman" w:hAnsi="Times New Roman"/>
          <w:b w:val="false"/>
          <w:i/>
          <w:color w:val="000000"/>
          <w:sz w:val="22"/>
        </w:rPr>
        <w:t xml:space="preserve">Limitation on payment. </w:t>
      </w:r>
      <w:r>
        <w:rPr>
          <w:rFonts w:ascii="Times New Roman" w:hAnsi="Times New Roman"/>
          <w:b w:val="false"/>
          <w:i w:val="false"/>
          <w:color w:val="000000"/>
          <w:sz w:val="22"/>
        </w:rPr>
        <w:t>If the sum of the third-party payment and client participation equals or exceeds the reimbursement for the specific brain injury waiver service, Medicaid will make no payments for the waiver service. However, Medicaid will make payments to other medical providers.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5.6.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