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441—83.83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eligibility. </w:t>
      </w:r>
      <w:r>
        <w:rPr>
          <w:rFonts w:ascii="Times New Roman" w:hAnsi="Times New Roman"/>
          <w:b w:val="false"/>
          <w:i w:val="false"/>
          <w:color w:val="000000"/>
          <w:sz w:val="22"/>
        </w:rPr>
        <w:t xml:space="preserve">The application process as specified in rules </w:t>
      </w:r>
      <w:hyperlink r:id="rId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determination of ability of the member to have all medically necessary service needs met within the scope of this waiver will be initiated on behalf of the member and with the member’s consent or with the consent of the member’s legal representative by the discharge planner of the medical facility where the member resides at the time of application or the case manager. The discharge planner or case manager will provide to the department all appropriate information needed regarding all the medically necessary service needs of the member. After completing the determination of ability to have all medically necessary service needs met within the scope of this waiver, the department will inform the discharge planner or case manager on behalf of the member or the member’s legal representative and send to the income maintenance worker a copy of the decision as to whether all of the member’s service needs can be met in a home- or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the HCBS BI waiver will be effective as of the date when both the service eligibility and financial eligibility have been completed. Decisions will be mailed or given to the member or the member’s legal representative on the date when each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be given the choice between waiver services and institutional care. The applicant or legal representative will sign the applicable information submission tool listed in paragraph </w:t>
      </w:r>
      <w:hyperlink r:id="rId6">
        <w:r>
          <w:rPr>
            <w:rStyle w:val="Hyperlink"/>
            <w:rFonts w:ascii="Times New Roman" w:hAnsi="Times New Roman"/>
            <w:b w:val="false"/>
            <w:i w:val="false"/>
            <w:color w:val="000000"/>
            <w:sz w:val="22"/>
          </w:rPr>
          <w:t>83.82(1)</w:t>
        </w:r>
      </w:hyperlink>
      <w:r>
        <w:rPr>
          <w:rFonts w:ascii="Times New Roman" w:hAnsi="Times New Roman"/>
          <w:b w:val="false"/>
          <w:i/>
          <w:color w:val="000000"/>
          <w:sz w:val="22"/>
        </w:rPr>
        <w:t>“f,”</w:t>
      </w:r>
      <w:r>
        <w:rPr>
          <w:rFonts w:ascii="Times New Roman" w:hAnsi="Times New Roman"/>
          <w:b w:val="false"/>
          <w:i w:val="false"/>
          <w:color w:val="000000"/>
          <w:sz w:val="22"/>
        </w:rPr>
        <w:t xml:space="preserve"> indicating that the applicant has elected home- and community-based services. This will be arranged by the medical facility discharge planner or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medical facility discharge planner, if there is one involved, will contact the member’s MCO or the designated case manager to initiate development of the member’s service plan and initiation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HCBS BI waiver services provided prior to both approvals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BI waiver services are not available in conjunction with other HCBS waiver programs or group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Medicaid case manager will establish an HCBS BI waiver interdisciplinary team for each member and, with the team, identify the member’s “need for service” based on the member’s needs and desires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all of the criteria set forth in rule </w:t>
      </w:r>
      <w:hyperlink r:id="rId7">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all of the criteria set forth in rule </w:t>
      </w:r>
      <w:hyperlink r:id="rId8">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and when the eligibility factors set forth in </w:t>
      </w:r>
      <w:hyperlink r:id="rId9">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10">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member fails to meet eligibility criteria listed in rule </w:t>
      </w:r>
      <w:hyperlink r:id="rId11">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Members who return to inpatient status in a medical institution for more than 120 consecutive days will be reviewed by the department to determine additional inpatient needs for possible termination from the brain injury waiver. The member will be reviewed for eligibility under other Medicaid coverage groups in accordance with rule </w:t>
      </w:r>
      <w:hyperlink r:id="rId12">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 The member will be notified of that decision through a notice of decision.</w:t>
      </w:r>
    </w:p>
    <w:p>
      <w:pPr>
        <w:spacing w:before="0" w:after="0"/>
        <w:ind w:left="120"/>
        <w:jc w:val="both"/>
      </w:pPr>
      <w:r>
        <w:rPr>
          <w:rFonts w:ascii="Times New Roman" w:hAnsi="Times New Roman"/>
          <w:b w:val="false"/>
          <w:i w:val="false"/>
          <w:color w:val="000000"/>
          <w:sz w:val="22"/>
        </w:rPr>
        <w:t>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3">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member meets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pdf" Type="http://schemas.openxmlformats.org/officeDocument/2006/relationships/hyperlink" Id="rId4"/>
    <Relationship TargetMode="External" Target="https://www.legis.iowa.gov/docs/iac/rule/441.76.6.pdf" Type="http://schemas.openxmlformats.org/officeDocument/2006/relationships/hyperlink" Id="rId5"/>
    <Relationship TargetMode="External" Target="https://www.legis.iowa.gov/docs/iac/rule/441.83.82.pdf" Type="http://schemas.openxmlformats.org/officeDocument/2006/relationships/hyperlink" Id="rId6"/>
    <Relationship TargetMode="External" Target="https://www.legis.iowa.gov/docs/iac/rule/441.83.82.pdf" Type="http://schemas.openxmlformats.org/officeDocument/2006/relationships/hyperlink" Id="rId7"/>
    <Relationship TargetMode="External" Target="https://www.legis.iowa.gov/docs/iac/rule/441.83.82.pdf" Type="http://schemas.openxmlformats.org/officeDocument/2006/relationships/hyperlink" Id="rId8"/>
    <Relationship TargetMode="External" Target="https://www.legis.iowa.gov/docs/iac/rule/441.75.6.pdf" Type="http://schemas.openxmlformats.org/officeDocument/2006/relationships/hyperlink" Id="rId9"/>
    <Relationship TargetMode="External" Target="https://www.legis.iowa.gov/docs/iac/rule/441.75.82.pdf" Type="http://schemas.openxmlformats.org/officeDocument/2006/relationships/hyperlink" Id="rId10"/>
    <Relationship TargetMode="External" Target="https://www.legis.iowa.gov/docs/iac/rule/441.83.82.pdf" Type="http://schemas.openxmlformats.org/officeDocument/2006/relationships/hyperlink" Id="rId11"/>
    <Relationship TargetMode="External" Target="https://www.legis.iowa.gov/docs/iac/rule/441.76.17.pdf" Type="http://schemas.openxmlformats.org/officeDocument/2006/relationships/hyperlink" Id="rId12"/>
    <Relationship TargetMode="External" Target="https://www.legis.iowa.gov/docs/iac/rule/441.75.8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