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441—83.81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“Adaptive”</w:t>
      </w:r>
      <w:r>
        <w:rPr>
          <w:rFonts w:ascii="Times New Roman" w:hAnsi="Times New Roman"/>
          <w:b w:val="false"/>
          <w:i w:val="false"/>
          <w:color w:val="000000"/>
          <w:sz w:val="22"/>
        </w:rPr>
        <w:t> </w:t>
      </w:r>
      <w:r>
        <w:rPr>
          <w:rFonts w:ascii="Times New Roman" w:hAnsi="Times New Roman"/>
          <w:b w:val="false"/>
          <w:i w:val="false"/>
          <w:color w:val="000000"/>
          <w:sz w:val="22"/>
        </w:rPr>
        <w:t>means age-appropriate skills related to taking care of one’s self and the ability to relate to others in daily living situations. These skills include limitations that occur in the areas of communication, self-care, home living, social skills, community use, self-direction, safety, functional academics, leisure and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with a brain injury aged 18 years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w:t>
      </w:r>
      <w:r>
        <w:rPr>
          <w:rFonts w:ascii="Times New Roman" w:hAnsi="Times New Roman"/>
          <w:b w:val="false"/>
          <w:i w:val="false"/>
          <w:color w:val="000000"/>
          <w:sz w:val="22"/>
        </w:rPr>
        <w:t> </w:t>
      </w:r>
      <w:r>
        <w:rPr>
          <w:rFonts w:ascii="Times New Roman" w:hAnsi="Times New Roman"/>
          <w:b w:val="false"/>
          <w:i w:val="false"/>
          <w:color w:val="000000"/>
          <w:sz w:val="22"/>
        </w:rPr>
        <w:t>means that the services or supports or activities provided or undertaken by the organization are relevant to the member’s needs, situation, problems, or desires.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member’s current functioning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“Basic individual respite”</w:t>
      </w:r>
      <w:r>
        <w:rPr>
          <w:rFonts w:ascii="Times New Roman" w:hAnsi="Times New Roman"/>
          <w:b w:val="false"/>
          <w:i w:val="false"/>
          <w:color w:val="000000"/>
          <w:sz w:val="22"/>
        </w:rPr>
        <w:t> </w:t>
      </w:r>
      <w:r>
        <w:rPr>
          <w:rFonts w:ascii="Times New Roman" w:hAnsi="Times New Roman"/>
          <w:b w:val="false"/>
          <w:i w:val="false"/>
          <w:color w:val="000000"/>
          <w:sz w:val="22"/>
        </w:rPr>
        <w:t>means respite provided on a staff-to-member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“Behavior”</w:t>
      </w:r>
      <w:r>
        <w:rPr>
          <w:rFonts w:ascii="Times New Roman" w:hAnsi="Times New Roman"/>
          <w:b w:val="false"/>
          <w:i w:val="false"/>
          <w:color w:val="000000"/>
          <w:sz w:val="22"/>
        </w:rPr>
        <w:t> </w:t>
      </w:r>
      <w:r>
        <w:rPr>
          <w:rFonts w:ascii="Times New Roman" w:hAnsi="Times New Roman"/>
          <w:b w:val="false"/>
          <w:i w:val="false"/>
          <w:color w:val="000000"/>
          <w:sz w:val="22"/>
        </w:rPr>
        <w:t>means skills related to regulating one’s own behavior including coping with demands from others, making choices, conforming conduct to laws, and displaying appropriate sociosexual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“Brain injury”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“BI”</w:t>
      </w:r>
      <w:r>
        <w:rPr>
          <w:rFonts w:ascii="Times New Roman" w:hAnsi="Times New Roman"/>
          <w:b w:val="false"/>
          <w:i w:val="false"/>
          <w:color w:val="000000"/>
          <w:sz w:val="22"/>
        </w:rPr>
        <w:t> </w:t>
      </w:r>
      <w:r>
        <w:rPr>
          <w:rFonts w:ascii="Times New Roman" w:hAnsi="Times New Roman"/>
          <w:b w:val="false"/>
          <w:i w:val="false"/>
          <w:color w:val="000000"/>
          <w:sz w:val="22"/>
        </w:rPr>
        <w:t>means clinically evident damage to the brain resulting directly or indirectly from trauma, infection, anoxia, vascular lesions or tumor of the brain, not primarily related to degenerative or aging processes, that temporarily or permanently impairs a person’s physical, cognitive, or behavioral functions. The person must have a diagnosis from the following list:</w:t>
      </w:r>
    </w:p>
    <w:p>
      <w:pPr>
        <w:spacing w:before="0" w:after="0"/>
        <w:ind w:left="120"/>
        <w:jc w:val="both"/>
      </w:pPr>
      <w:r>
        <w:rPr>
          <w:rFonts w:ascii="Times New Roman" w:hAnsi="Times New Roman"/>
          <w:b w:val="false"/>
          <w:i w:val="false"/>
          <w:color w:val="000000"/>
          <w:sz w:val="22"/>
        </w:rPr>
        <w:t>Malignant neoplasms of brain, cerebrum.</w:t>
      </w:r>
    </w:p>
    <w:p>
      <w:pPr>
        <w:spacing w:before="0" w:after="0"/>
        <w:ind w:left="120"/>
        <w:jc w:val="both"/>
      </w:pPr>
      <w:r>
        <w:rPr>
          <w:rFonts w:ascii="Times New Roman" w:hAnsi="Times New Roman"/>
          <w:b w:val="false"/>
          <w:i w:val="false"/>
          <w:color w:val="000000"/>
          <w:sz w:val="22"/>
        </w:rPr>
        <w:t>Malignant neoplasms of brain, frontal lobe.</w:t>
      </w:r>
    </w:p>
    <w:p>
      <w:pPr>
        <w:spacing w:before="0" w:after="0"/>
        <w:ind w:left="120"/>
        <w:jc w:val="both"/>
      </w:pPr>
      <w:r>
        <w:rPr>
          <w:rFonts w:ascii="Times New Roman" w:hAnsi="Times New Roman"/>
          <w:b w:val="false"/>
          <w:i w:val="false"/>
          <w:color w:val="000000"/>
          <w:sz w:val="22"/>
        </w:rPr>
        <w:t>Malignant neoplasms of brain, temporal lobe.</w:t>
      </w:r>
    </w:p>
    <w:p>
      <w:pPr>
        <w:spacing w:before="0" w:after="0"/>
        <w:ind w:left="120"/>
        <w:jc w:val="both"/>
      </w:pPr>
      <w:r>
        <w:rPr>
          <w:rFonts w:ascii="Times New Roman" w:hAnsi="Times New Roman"/>
          <w:b w:val="false"/>
          <w:i w:val="false"/>
          <w:color w:val="000000"/>
          <w:sz w:val="22"/>
        </w:rPr>
        <w:t>Malignant neoplasms of brain, parietal lobe.</w:t>
      </w:r>
    </w:p>
    <w:p>
      <w:pPr>
        <w:spacing w:before="0" w:after="0"/>
        <w:ind w:left="120"/>
        <w:jc w:val="both"/>
      </w:pPr>
      <w:r>
        <w:rPr>
          <w:rFonts w:ascii="Times New Roman" w:hAnsi="Times New Roman"/>
          <w:b w:val="false"/>
          <w:i w:val="false"/>
          <w:color w:val="000000"/>
          <w:sz w:val="22"/>
        </w:rPr>
        <w:t>Malignant neoplasms of brain, occipital lobe.</w:t>
      </w:r>
    </w:p>
    <w:p>
      <w:pPr>
        <w:spacing w:before="0" w:after="0"/>
        <w:ind w:left="120"/>
        <w:jc w:val="both"/>
      </w:pPr>
      <w:r>
        <w:rPr>
          <w:rFonts w:ascii="Times New Roman" w:hAnsi="Times New Roman"/>
          <w:b w:val="false"/>
          <w:i w:val="false"/>
          <w:color w:val="000000"/>
          <w:sz w:val="22"/>
        </w:rPr>
        <w:t>Malignant neoplasms of brain, ventricles.</w:t>
      </w:r>
    </w:p>
    <w:p>
      <w:pPr>
        <w:spacing w:before="0" w:after="0"/>
        <w:ind w:left="120"/>
        <w:jc w:val="both"/>
      </w:pPr>
      <w:r>
        <w:rPr>
          <w:rFonts w:ascii="Times New Roman" w:hAnsi="Times New Roman"/>
          <w:b w:val="false"/>
          <w:i w:val="false"/>
          <w:color w:val="000000"/>
          <w:sz w:val="22"/>
        </w:rPr>
        <w:t>Malignant neoplasms of brain, cerebellum.</w:t>
      </w:r>
    </w:p>
    <w:p>
      <w:pPr>
        <w:spacing w:before="0" w:after="0"/>
        <w:ind w:left="120"/>
        <w:jc w:val="both"/>
      </w:pPr>
      <w:r>
        <w:rPr>
          <w:rFonts w:ascii="Times New Roman" w:hAnsi="Times New Roman"/>
          <w:b w:val="false"/>
          <w:i w:val="false"/>
          <w:color w:val="000000"/>
          <w:sz w:val="22"/>
        </w:rPr>
        <w:t>Malignant neoplasms of brain, brain stem.</w:t>
      </w:r>
    </w:p>
    <w:p>
      <w:pPr>
        <w:spacing w:before="0" w:after="0"/>
        <w:ind w:left="120"/>
        <w:jc w:val="both"/>
      </w:pPr>
      <w:r>
        <w:rPr>
          <w:rFonts w:ascii="Times New Roman" w:hAnsi="Times New Roman"/>
          <w:b w:val="false"/>
          <w:i w:val="false"/>
          <w:color w:val="000000"/>
          <w:sz w:val="22"/>
        </w:rPr>
        <w:t>Malignant neoplasms of brain, other part of brain, includes midbrain, peduncle, and medulla oblongata.</w:t>
      </w:r>
    </w:p>
    <w:p>
      <w:pPr>
        <w:spacing w:before="0" w:after="0"/>
        <w:ind w:left="120"/>
        <w:jc w:val="both"/>
      </w:pPr>
      <w:r>
        <w:rPr>
          <w:rFonts w:ascii="Times New Roman" w:hAnsi="Times New Roman"/>
          <w:b w:val="false"/>
          <w:i w:val="false"/>
          <w:color w:val="000000"/>
          <w:sz w:val="22"/>
        </w:rPr>
        <w:t>Malignant neoplasms of brain, cerebral meninges.</w:t>
      </w:r>
    </w:p>
    <w:p>
      <w:pPr>
        <w:spacing w:before="0" w:after="0"/>
        <w:ind w:left="120"/>
        <w:jc w:val="both"/>
      </w:pPr>
      <w:r>
        <w:rPr>
          <w:rFonts w:ascii="Times New Roman" w:hAnsi="Times New Roman"/>
          <w:b w:val="false"/>
          <w:i w:val="false"/>
          <w:color w:val="000000"/>
          <w:sz w:val="22"/>
        </w:rPr>
        <w:t>Malignant neoplasms of brain, cranial nerves.</w:t>
      </w:r>
    </w:p>
    <w:p>
      <w:pPr>
        <w:spacing w:before="0" w:after="0"/>
        <w:ind w:left="120"/>
        <w:jc w:val="both"/>
      </w:pPr>
      <w:r>
        <w:rPr>
          <w:rFonts w:ascii="Times New Roman" w:hAnsi="Times New Roman"/>
          <w:b w:val="false"/>
          <w:i w:val="false"/>
          <w:color w:val="000000"/>
          <w:sz w:val="22"/>
        </w:rPr>
        <w:t>Secondary malignant neoplasm of brain.</w:t>
      </w:r>
    </w:p>
    <w:p>
      <w:pPr>
        <w:spacing w:before="0" w:after="0"/>
        <w:ind w:left="120"/>
        <w:jc w:val="both"/>
      </w:pPr>
      <w:r>
        <w:rPr>
          <w:rFonts w:ascii="Times New Roman" w:hAnsi="Times New Roman"/>
          <w:b w:val="false"/>
          <w:i w:val="false"/>
          <w:color w:val="000000"/>
          <w:sz w:val="22"/>
        </w:rPr>
        <w:t>Secondary malignant neoplasm of other parts of the nervous system, includes cerebral meninges.</w:t>
      </w:r>
    </w:p>
    <w:p>
      <w:pPr>
        <w:spacing w:before="0" w:after="0"/>
        <w:ind w:left="120"/>
        <w:jc w:val="both"/>
      </w:pPr>
      <w:r>
        <w:rPr>
          <w:rFonts w:ascii="Times New Roman" w:hAnsi="Times New Roman"/>
          <w:b w:val="false"/>
          <w:i w:val="false"/>
          <w:color w:val="000000"/>
          <w:sz w:val="22"/>
        </w:rPr>
        <w:t>Benign neoplasm of brain and other parts of the nervous system, brain.</w:t>
      </w:r>
    </w:p>
    <w:p>
      <w:pPr>
        <w:spacing w:before="0" w:after="0"/>
        <w:ind w:left="120"/>
        <w:jc w:val="both"/>
      </w:pPr>
      <w:r>
        <w:rPr>
          <w:rFonts w:ascii="Times New Roman" w:hAnsi="Times New Roman"/>
          <w:b w:val="false"/>
          <w:i w:val="false"/>
          <w:color w:val="000000"/>
          <w:sz w:val="22"/>
        </w:rPr>
        <w:t>Benign neoplasm of brain and other parts of the nervous system, cranial nerves.</w:t>
      </w:r>
    </w:p>
    <w:p>
      <w:pPr>
        <w:spacing w:before="0" w:after="0"/>
        <w:ind w:left="120"/>
        <w:jc w:val="both"/>
      </w:pPr>
      <w:r>
        <w:rPr>
          <w:rFonts w:ascii="Times New Roman" w:hAnsi="Times New Roman"/>
          <w:b w:val="false"/>
          <w:i w:val="false"/>
          <w:color w:val="000000"/>
          <w:sz w:val="22"/>
        </w:rPr>
        <w:t>Benign neoplasm of brain and other parts of the nervous system, cerebral meninges.</w:t>
      </w:r>
    </w:p>
    <w:p>
      <w:pPr>
        <w:spacing w:before="0" w:after="0"/>
        <w:ind w:left="120"/>
        <w:jc w:val="both"/>
      </w:pPr>
      <w:r>
        <w:rPr>
          <w:rFonts w:ascii="Times New Roman" w:hAnsi="Times New Roman"/>
          <w:b w:val="false"/>
          <w:i w:val="false"/>
          <w:color w:val="000000"/>
          <w:sz w:val="22"/>
        </w:rPr>
        <w:t>Encephalitis, myelitis and encephalomyelitis.</w:t>
      </w:r>
    </w:p>
    <w:p>
      <w:pPr>
        <w:spacing w:before="0" w:after="0"/>
        <w:ind w:left="120"/>
        <w:jc w:val="both"/>
      </w:pPr>
      <w:r>
        <w:rPr>
          <w:rFonts w:ascii="Times New Roman" w:hAnsi="Times New Roman"/>
          <w:b w:val="false"/>
          <w:i w:val="false"/>
          <w:color w:val="000000"/>
          <w:sz w:val="22"/>
        </w:rPr>
        <w:t>Intracranial and intraspinal abscess.</w:t>
      </w:r>
    </w:p>
    <w:p>
      <w:pPr>
        <w:spacing w:before="0" w:after="0"/>
        <w:ind w:left="120"/>
        <w:jc w:val="both"/>
      </w:pPr>
      <w:r>
        <w:rPr>
          <w:rFonts w:ascii="Times New Roman" w:hAnsi="Times New Roman"/>
          <w:b w:val="false"/>
          <w:i w:val="false"/>
          <w:color w:val="000000"/>
          <w:sz w:val="22"/>
        </w:rPr>
        <w:t>Anoxic brain damage.</w:t>
      </w:r>
    </w:p>
    <w:p>
      <w:pPr>
        <w:spacing w:before="0" w:after="0"/>
        <w:ind w:left="120"/>
        <w:jc w:val="both"/>
      </w:pPr>
      <w:r>
        <w:rPr>
          <w:rFonts w:ascii="Times New Roman" w:hAnsi="Times New Roman"/>
          <w:b w:val="false"/>
          <w:i w:val="false"/>
          <w:color w:val="000000"/>
          <w:sz w:val="22"/>
        </w:rPr>
        <w:t>Subarachnoid hemorrhage.</w:t>
      </w:r>
    </w:p>
    <w:p>
      <w:pPr>
        <w:spacing w:before="0" w:after="0"/>
        <w:ind w:left="120"/>
        <w:jc w:val="both"/>
      </w:pPr>
      <w:r>
        <w:rPr>
          <w:rFonts w:ascii="Times New Roman" w:hAnsi="Times New Roman"/>
          <w:b w:val="false"/>
          <w:i w:val="false"/>
          <w:color w:val="000000"/>
          <w:sz w:val="22"/>
        </w:rPr>
        <w:t>Intracerebral hemorrhage.</w:t>
      </w:r>
    </w:p>
    <w:p>
      <w:pPr>
        <w:spacing w:before="0" w:after="0"/>
        <w:ind w:left="120"/>
        <w:jc w:val="both"/>
      </w:pPr>
      <w:r>
        <w:rPr>
          <w:rFonts w:ascii="Times New Roman" w:hAnsi="Times New Roman"/>
          <w:b w:val="false"/>
          <w:i w:val="false"/>
          <w:color w:val="000000"/>
          <w:sz w:val="22"/>
        </w:rPr>
        <w:t>Other and unspecified intracranial hemorrhage.</w:t>
      </w:r>
    </w:p>
    <w:p>
      <w:pPr>
        <w:spacing w:before="0" w:after="0"/>
        <w:ind w:left="120"/>
        <w:jc w:val="both"/>
      </w:pPr>
      <w:r>
        <w:rPr>
          <w:rFonts w:ascii="Times New Roman" w:hAnsi="Times New Roman"/>
          <w:b w:val="false"/>
          <w:i w:val="false"/>
          <w:color w:val="000000"/>
          <w:sz w:val="22"/>
        </w:rPr>
        <w:t>Occlusion and stenosis of precerebral arteries.</w:t>
      </w:r>
    </w:p>
    <w:p>
      <w:pPr>
        <w:spacing w:before="0" w:after="0"/>
        <w:ind w:left="120"/>
        <w:jc w:val="both"/>
      </w:pPr>
      <w:r>
        <w:rPr>
          <w:rFonts w:ascii="Times New Roman" w:hAnsi="Times New Roman"/>
          <w:b w:val="false"/>
          <w:i w:val="false"/>
          <w:color w:val="000000"/>
          <w:sz w:val="22"/>
        </w:rPr>
        <w:t>Occlusion of cerebral arteries.</w:t>
      </w:r>
    </w:p>
    <w:p>
      <w:pPr>
        <w:spacing w:before="0" w:after="0"/>
        <w:ind w:left="120"/>
        <w:jc w:val="both"/>
      </w:pPr>
      <w:r>
        <w:rPr>
          <w:rFonts w:ascii="Times New Roman" w:hAnsi="Times New Roman"/>
          <w:b w:val="false"/>
          <w:i w:val="false"/>
          <w:color w:val="000000"/>
          <w:sz w:val="22"/>
        </w:rPr>
        <w:t>Transient cerebral ischemia.</w:t>
      </w:r>
    </w:p>
    <w:p>
      <w:pPr>
        <w:spacing w:before="0" w:after="0"/>
        <w:ind w:left="120"/>
        <w:jc w:val="both"/>
      </w:pPr>
      <w:r>
        <w:rPr>
          <w:rFonts w:ascii="Times New Roman" w:hAnsi="Times New Roman"/>
          <w:b w:val="false"/>
          <w:i w:val="false"/>
          <w:color w:val="000000"/>
          <w:sz w:val="22"/>
        </w:rPr>
        <w:t>Acute, but ill-defined, cerebrovascular disease.</w:t>
      </w:r>
    </w:p>
    <w:p>
      <w:pPr>
        <w:spacing w:before="0" w:after="0"/>
        <w:ind w:left="120"/>
        <w:jc w:val="both"/>
      </w:pPr>
      <w:r>
        <w:rPr>
          <w:rFonts w:ascii="Times New Roman" w:hAnsi="Times New Roman"/>
          <w:b w:val="false"/>
          <w:i w:val="false"/>
          <w:color w:val="000000"/>
          <w:sz w:val="22"/>
        </w:rPr>
        <w:t>Other and ill-defined cerebrovascular diseases.</w:t>
      </w:r>
    </w:p>
    <w:p>
      <w:pPr>
        <w:spacing w:before="0" w:after="0"/>
        <w:ind w:left="120"/>
        <w:jc w:val="both"/>
      </w:pPr>
      <w:r>
        <w:rPr>
          <w:rFonts w:ascii="Times New Roman" w:hAnsi="Times New Roman"/>
          <w:b w:val="false"/>
          <w:i w:val="false"/>
          <w:color w:val="000000"/>
          <w:sz w:val="22"/>
        </w:rPr>
        <w:t>Fracture of vault of skull.</w:t>
      </w:r>
    </w:p>
    <w:p>
      <w:pPr>
        <w:spacing w:before="0" w:after="0"/>
        <w:ind w:left="120"/>
        <w:jc w:val="both"/>
      </w:pPr>
      <w:r>
        <w:rPr>
          <w:rFonts w:ascii="Times New Roman" w:hAnsi="Times New Roman"/>
          <w:b w:val="false"/>
          <w:i w:val="false"/>
          <w:color w:val="000000"/>
          <w:sz w:val="22"/>
        </w:rPr>
        <w:t>Fracture of base of skull.</w:t>
      </w:r>
    </w:p>
    <w:p>
      <w:pPr>
        <w:spacing w:before="0" w:after="0"/>
        <w:ind w:left="120"/>
        <w:jc w:val="both"/>
      </w:pPr>
      <w:r>
        <w:rPr>
          <w:rFonts w:ascii="Times New Roman" w:hAnsi="Times New Roman"/>
          <w:b w:val="false"/>
          <w:i w:val="false"/>
          <w:color w:val="000000"/>
          <w:sz w:val="22"/>
        </w:rPr>
        <w:t>Other and unqualified skull fractures.</w:t>
      </w:r>
    </w:p>
    <w:p>
      <w:pPr>
        <w:spacing w:before="0" w:after="0"/>
        <w:ind w:left="120"/>
        <w:jc w:val="both"/>
      </w:pPr>
      <w:r>
        <w:rPr>
          <w:rFonts w:ascii="Times New Roman" w:hAnsi="Times New Roman"/>
          <w:b w:val="false"/>
          <w:i w:val="false"/>
          <w:color w:val="000000"/>
          <w:sz w:val="22"/>
        </w:rPr>
        <w:t>Multiple fractures involving skull or face with other bones.</w:t>
      </w:r>
    </w:p>
    <w:p>
      <w:pPr>
        <w:spacing w:before="0" w:after="0"/>
        <w:ind w:left="120"/>
        <w:jc w:val="both"/>
      </w:pPr>
      <w:r>
        <w:rPr>
          <w:rFonts w:ascii="Times New Roman" w:hAnsi="Times New Roman"/>
          <w:b w:val="false"/>
          <w:i w:val="false"/>
          <w:color w:val="000000"/>
          <w:sz w:val="22"/>
        </w:rPr>
        <w:t>Concussion.</w:t>
      </w:r>
    </w:p>
    <w:p>
      <w:pPr>
        <w:spacing w:before="0" w:after="0"/>
        <w:ind w:left="120"/>
        <w:jc w:val="both"/>
      </w:pPr>
      <w:r>
        <w:rPr>
          <w:rFonts w:ascii="Times New Roman" w:hAnsi="Times New Roman"/>
          <w:b w:val="false"/>
          <w:i w:val="false"/>
          <w:color w:val="000000"/>
          <w:sz w:val="22"/>
        </w:rPr>
        <w:t>Cerebral laceration and contusion.</w:t>
      </w:r>
    </w:p>
    <w:p>
      <w:pPr>
        <w:spacing w:before="0" w:after="0"/>
        <w:ind w:left="120"/>
        <w:jc w:val="both"/>
      </w:pPr>
      <w:r>
        <w:rPr>
          <w:rFonts w:ascii="Times New Roman" w:hAnsi="Times New Roman"/>
          <w:b w:val="false"/>
          <w:i w:val="false"/>
          <w:color w:val="000000"/>
          <w:sz w:val="22"/>
        </w:rPr>
        <w:t>Cerebral edema.</w:t>
      </w:r>
    </w:p>
    <w:p>
      <w:pPr>
        <w:spacing w:before="0" w:after="0"/>
        <w:ind w:left="120"/>
        <w:jc w:val="both"/>
      </w:pPr>
      <w:r>
        <w:rPr>
          <w:rFonts w:ascii="Times New Roman" w:hAnsi="Times New Roman"/>
          <w:b w:val="false"/>
          <w:i w:val="false"/>
          <w:color w:val="000000"/>
          <w:sz w:val="22"/>
        </w:rPr>
        <w:t>Cerebral palsy.</w:t>
      </w:r>
    </w:p>
    <w:p>
      <w:pPr>
        <w:spacing w:before="0" w:after="0"/>
        <w:ind w:left="120"/>
        <w:jc w:val="both"/>
      </w:pPr>
      <w:r>
        <w:rPr>
          <w:rFonts w:ascii="Times New Roman" w:hAnsi="Times New Roman"/>
          <w:b w:val="false"/>
          <w:i w:val="false"/>
          <w:color w:val="000000"/>
          <w:sz w:val="22"/>
        </w:rPr>
        <w:t>Subarachnoid, subdural, and extradural hemorrhage following injury.</w:t>
      </w:r>
    </w:p>
    <w:p>
      <w:pPr>
        <w:spacing w:before="0" w:after="0"/>
        <w:ind w:left="120"/>
        <w:jc w:val="both"/>
      </w:pPr>
      <w:r>
        <w:rPr>
          <w:rFonts w:ascii="Times New Roman" w:hAnsi="Times New Roman"/>
          <w:b w:val="false"/>
          <w:i w:val="false"/>
          <w:color w:val="000000"/>
          <w:sz w:val="22"/>
        </w:rPr>
        <w:t>Other and unspecified intracranial hemorrhage following injury.</w:t>
      </w:r>
    </w:p>
    <w:p>
      <w:pPr>
        <w:spacing w:before="0" w:after="0"/>
        <w:ind w:left="120"/>
        <w:jc w:val="both"/>
      </w:pPr>
      <w:r>
        <w:rPr>
          <w:rFonts w:ascii="Times New Roman" w:hAnsi="Times New Roman"/>
          <w:b w:val="false"/>
          <w:i w:val="false"/>
          <w:color w:val="000000"/>
          <w:sz w:val="22"/>
        </w:rPr>
        <w:t>Intracranial injury of other and unspecified nature.</w:t>
      </w:r>
    </w:p>
    <w:p>
      <w:pPr>
        <w:spacing w:before="0" w:after="0"/>
        <w:ind w:left="120"/>
        <w:jc w:val="both"/>
      </w:pPr>
      <w:r>
        <w:rPr>
          <w:rFonts w:ascii="Times New Roman" w:hAnsi="Times New Roman"/>
          <w:b w:val="false"/>
          <w:i w:val="false"/>
          <w:color w:val="000000"/>
          <w:sz w:val="22"/>
        </w:rPr>
        <w:t>Poisoning by drugs, medicinal and biological substances.</w:t>
      </w:r>
    </w:p>
    <w:p>
      <w:pPr>
        <w:spacing w:before="0" w:after="0"/>
        <w:ind w:left="120"/>
        <w:jc w:val="both"/>
      </w:pPr>
      <w:r>
        <w:rPr>
          <w:rFonts w:ascii="Times New Roman" w:hAnsi="Times New Roman"/>
          <w:b w:val="false"/>
          <w:i w:val="false"/>
          <w:color w:val="000000"/>
          <w:sz w:val="22"/>
        </w:rPr>
        <w:t>Toxic effects of substances.</w:t>
      </w:r>
    </w:p>
    <w:p>
      <w:pPr>
        <w:spacing w:before="0" w:after="0"/>
        <w:ind w:left="120"/>
        <w:jc w:val="both"/>
      </w:pPr>
      <w:r>
        <w:rPr>
          <w:rFonts w:ascii="Times New Roman" w:hAnsi="Times New Roman"/>
          <w:b w:val="false"/>
          <w:i w:val="false"/>
          <w:color w:val="000000"/>
          <w:sz w:val="22"/>
        </w:rPr>
        <w:t>Effects of external causes.</w:t>
      </w:r>
    </w:p>
    <w:p>
      <w:pPr>
        <w:spacing w:before="0" w:after="0"/>
        <w:ind w:left="120"/>
        <w:jc w:val="both"/>
      </w:pPr>
      <w:r>
        <w:rPr>
          <w:rFonts w:ascii="Times New Roman" w:hAnsi="Times New Roman"/>
          <w:b w:val="false"/>
          <w:i w:val="false"/>
          <w:color w:val="000000"/>
          <w:sz w:val="22"/>
        </w:rPr>
        <w:t>Drowning and nonfatal submersion.</w:t>
      </w:r>
    </w:p>
    <w:p>
      <w:pPr>
        <w:spacing w:before="0" w:after="0"/>
        <w:ind w:left="120"/>
        <w:jc w:val="both"/>
      </w:pPr>
      <w:r>
        <w:rPr>
          <w:rFonts w:ascii="Times New Roman" w:hAnsi="Times New Roman"/>
          <w:b w:val="false"/>
          <w:i w:val="false"/>
          <w:color w:val="000000"/>
          <w:sz w:val="22"/>
        </w:rPr>
        <w:t>Asphyxiation and strangulation.</w:t>
      </w:r>
    </w:p>
    <w:p>
      <w:pPr>
        <w:spacing w:before="0" w:after="0"/>
        <w:ind w:left="120"/>
        <w:jc w:val="both"/>
      </w:pPr>
      <w:r>
        <w:rPr>
          <w:rFonts w:ascii="Times New Roman" w:hAnsi="Times New Roman"/>
          <w:b w:val="false"/>
          <w:i w:val="false"/>
          <w:color w:val="000000"/>
          <w:sz w:val="22"/>
        </w:rPr>
        <w:t>Child maltreatment syndrome.</w:t>
      </w:r>
    </w:p>
    <w:p>
      <w:pPr>
        <w:spacing w:before="0" w:after="0"/>
        <w:ind w:left="120"/>
        <w:jc w:val="both"/>
      </w:pPr>
      <w:r>
        <w:rPr>
          <w:rFonts w:ascii="Times New Roman" w:hAnsi="Times New Roman"/>
          <w:b w:val="false"/>
          <w:i w:val="false"/>
          <w:color w:val="000000"/>
          <w:sz w:val="22"/>
        </w:rPr>
        <w:t>Adult maltreatment syndrome.</w:t>
      </w:r>
    </w:p>
    <w:p>
      <w:pPr>
        <w:spacing w:before="0" w:after="0"/>
        <w:ind w:left="120"/>
        <w:jc w:val="both"/>
      </w:pPr>
      <w:r>
        <w:rPr>
          <w:rFonts w:ascii="Times New Roman" w:hAnsi="Times New Roman"/>
          <w:b w:val="false"/>
          <w:i w:val="false"/>
          <w:color w:val="000000"/>
          <w:sz w:val="22"/>
        </w:rPr>
        <w:t>Status epilepticus.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person with a brain injury aged 17 years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amount of the member’s income that the person must contribute to the cost of brain injury waiver services, exclusive of medical vendor payments, before Medicaid will provide additional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“Deemed status”</w:t>
      </w:r>
      <w:r>
        <w:rPr>
          <w:rFonts w:ascii="Times New Roman" w:hAnsi="Times New Roman"/>
          <w:b w:val="false"/>
          <w:i w:val="false"/>
          <w:color w:val="000000"/>
          <w:sz w:val="22"/>
        </w:rPr>
        <w:t> </w:t>
      </w:r>
      <w:r>
        <w:rPr>
          <w:rFonts w:ascii="Times New Roman" w:hAnsi="Times New Roman"/>
          <w:b w:val="false"/>
          <w:i w:val="false"/>
          <w:color w:val="000000"/>
          <w:sz w:val="22"/>
        </w:rPr>
        <w:t>means acceptance of certification or licensure of a program or service by another certifying body in place of certification based on review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service”</w:t>
      </w:r>
      <w:r>
        <w:rPr>
          <w:rFonts w:ascii="Times New Roman" w:hAnsi="Times New Roman"/>
          <w:b w:val="false"/>
          <w:i w:val="false"/>
          <w:color w:val="000000"/>
          <w:sz w:val="22"/>
        </w:rPr>
        <w:t> </w:t>
      </w:r>
      <w:r>
        <w:rPr>
          <w:rFonts w:ascii="Times New Roman" w:hAnsi="Times New Roman"/>
          <w:b w:val="false"/>
          <w:i w:val="false"/>
          <w:color w:val="000000"/>
          <w:sz w:val="22"/>
        </w:rPr>
        <w:t>means services involving face-to-face assistance to a member such as transporting a member or providing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“DSM-5”</w:t>
      </w:r>
      <w:r>
        <w:rPr>
          <w:rFonts w:ascii="Times New Roman" w:hAnsi="Times New Roman"/>
          <w:b w:val="false"/>
          <w:i w:val="false"/>
          <w:color w:val="000000"/>
          <w:sz w:val="22"/>
        </w:rPr>
        <w:t> </w:t>
      </w:r>
      <w:r>
        <w:rPr>
          <w:rFonts w:ascii="Times New Roman" w:hAnsi="Times New Roman"/>
          <w:b w:val="false"/>
          <w:i w:val="false"/>
          <w:color w:val="000000"/>
          <w:sz w:val="22"/>
        </w:rPr>
        <w:t>means the Diagnostic and Statistical Manual of Mental Disorders, Fifth Edition, published by the American Psychiatric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w:t>
      </w:r>
      <w:r>
        <w:rPr>
          <w:rFonts w:ascii="Times New Roman" w:hAnsi="Times New Roman"/>
          <w:b w:val="false"/>
          <w:i w:val="false"/>
          <w:color w:val="000000"/>
          <w:sz w:val="22"/>
        </w:rPr>
        <w:t> </w:t>
      </w:r>
      <w:r>
        <w:rPr>
          <w:rFonts w:ascii="Times New Roman" w:hAnsi="Times New Roman"/>
          <w:b w:val="false"/>
          <w:i w:val="false"/>
          <w:color w:val="000000"/>
          <w:sz w:val="22"/>
        </w:rPr>
        <w:t>means skills related to the maintenance of one’s health including eating; illness identification, treatment and prevention; basic first aid; physical fitness; regular physical checkups and personal habits.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jeopardy”</w:t>
      </w:r>
      <w:r>
        <w:rPr>
          <w:rFonts w:ascii="Times New Roman" w:hAnsi="Times New Roman"/>
          <w:b w:val="false"/>
          <w:i w:val="false"/>
          <w:color w:val="000000"/>
          <w:sz w:val="22"/>
        </w:rPr>
        <w:t> </w:t>
      </w:r>
      <w:r>
        <w:rPr>
          <w:rFonts w:ascii="Times New Roman" w:hAnsi="Times New Roman"/>
          <w:b w:val="false"/>
          <w:i w:val="false"/>
          <w:color w:val="000000"/>
          <w:sz w:val="22"/>
        </w:rPr>
        <w:t>means circumstances where the life, health, or safety of a person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 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supported community living service”</w:t>
      </w:r>
      <w:r>
        <w:rPr>
          <w:rFonts w:ascii="Times New Roman" w:hAnsi="Times New Roman"/>
          <w:b w:val="false"/>
          <w:i w:val="false"/>
          <w:color w:val="000000"/>
          <w:sz w:val="22"/>
        </w:rPr>
        <w:t> </w:t>
      </w:r>
      <w:r>
        <w:rPr>
          <w:rFonts w:ascii="Times New Roman" w:hAnsi="Times New Roman"/>
          <w:b w:val="false"/>
          <w:i w:val="false"/>
          <w:color w:val="000000"/>
          <w:sz w:val="22"/>
        </w:rPr>
        <w:t>means supported community living service provided from one to three hours a day for not more than four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assessment”</w:t>
      </w:r>
      <w:r>
        <w:rPr>
          <w:rFonts w:ascii="Times New Roman" w:hAnsi="Times New Roman"/>
          <w:b w:val="false"/>
          <w:i w:val="false"/>
          <w:color w:val="000000"/>
          <w:sz w:val="22"/>
        </w:rPr>
        <w:t> </w:t>
      </w:r>
      <w:r>
        <w:rPr>
          <w:rFonts w:ascii="Times New Roman" w:hAnsi="Times New Roman"/>
          <w:b w:val="false"/>
          <w:i w:val="false"/>
          <w:color w:val="000000"/>
          <w:sz w:val="22"/>
        </w:rPr>
        <w:t>means a visual and physical inspection of the member, noting deviations from the norm, and a statement of the member’s mental and physical condition that can be amendable to or resolved by appropriate actions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a skilled nursing facility, intermediate care facility for persons with an intellectual disability, or hospital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intervention”</w:t>
      </w:r>
      <w:r>
        <w:rPr>
          <w:rFonts w:ascii="Times New Roman" w:hAnsi="Times New Roman"/>
          <w:b w:val="false"/>
          <w:i w:val="false"/>
          <w:color w:val="000000"/>
          <w:sz w:val="22"/>
        </w:rPr>
        <w:t> </w:t>
      </w:r>
      <w:r>
        <w:rPr>
          <w:rFonts w:ascii="Times New Roman" w:hAnsi="Times New Roman"/>
          <w:b w:val="false"/>
          <w:i w:val="false"/>
          <w:color w:val="000000"/>
          <w:sz w:val="22"/>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monitoring”</w:t>
      </w:r>
      <w:r>
        <w:rPr>
          <w:rFonts w:ascii="Times New Roman" w:hAnsi="Times New Roman"/>
          <w:b w:val="false"/>
          <w:i w:val="false"/>
          <w:color w:val="000000"/>
          <w:sz w:val="22"/>
        </w:rPr>
        <w:t> </w:t>
      </w:r>
      <w:r>
        <w:rPr>
          <w:rFonts w:ascii="Times New Roman" w:hAnsi="Times New Roman"/>
          <w:b w:val="false"/>
          <w:i w:val="false"/>
          <w:color w:val="000000"/>
          <w:sz w:val="22"/>
        </w:rPr>
        <w:t>means observation for the purpose of assessing, preventing, maintaining, and treating disease or illness based on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“Organization”</w:t>
      </w:r>
      <w:r>
        <w:rPr>
          <w:rFonts w:ascii="Times New Roman" w:hAnsi="Times New Roman"/>
          <w:b w:val="false"/>
          <w:i w:val="false"/>
          <w:color w:val="000000"/>
          <w:sz w:val="22"/>
        </w:rPr>
        <w:t> </w:t>
      </w:r>
      <w:r>
        <w:rPr>
          <w:rFonts w:ascii="Times New Roman" w:hAnsi="Times New Roman"/>
          <w:b w:val="false"/>
          <w:i w:val="false"/>
          <w:color w:val="000000"/>
          <w:sz w:val="22"/>
        </w:rPr>
        <w:t>means the entity being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“Outcome”</w:t>
      </w:r>
      <w:r>
        <w:rPr>
          <w:rFonts w:ascii="Times New Roman" w:hAnsi="Times New Roman"/>
          <w:b w:val="false"/>
          <w:i w:val="false"/>
          <w:color w:val="000000"/>
          <w:sz w:val="22"/>
        </w:rPr>
        <w:t> </w:t>
      </w:r>
      <w:r>
        <w:rPr>
          <w:rFonts w:ascii="Times New Roman" w:hAnsi="Times New Roman"/>
          <w:b w:val="false"/>
          <w:i w:val="false"/>
          <w:color w:val="000000"/>
          <w:sz w:val="22"/>
        </w:rPr>
        <w:t>means an action or event that follows as a result or consequence of the provision of a service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“Procedures”</w:t>
      </w:r>
      <w:r>
        <w:rPr>
          <w:rFonts w:ascii="Times New Roman" w:hAnsi="Times New Roman"/>
          <w:b w:val="false"/>
          <w:i w:val="false"/>
          <w:color w:val="000000"/>
          <w:sz w:val="22"/>
        </w:rPr>
        <w:t> </w:t>
      </w:r>
      <w:r>
        <w:rPr>
          <w:rFonts w:ascii="Times New Roman" w:hAnsi="Times New Roman"/>
          <w:b w:val="false"/>
          <w:i w:val="false"/>
          <w:color w:val="000000"/>
          <w:sz w:val="22"/>
        </w:rPr>
        <w:t>means the steps to be taken to implement a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“Process”</w:t>
      </w:r>
      <w:r>
        <w:rPr>
          <w:rFonts w:ascii="Times New Roman" w:hAnsi="Times New Roman"/>
          <w:b w:val="false"/>
          <w:i w:val="false"/>
          <w:color w:val="000000"/>
          <w:sz w:val="22"/>
        </w:rPr>
        <w:t> </w:t>
      </w:r>
      <w:r>
        <w:rPr>
          <w:rFonts w:ascii="Times New Roman" w:hAnsi="Times New Roman"/>
          <w:b w:val="false"/>
          <w:i w:val="false"/>
          <w:color w:val="000000"/>
          <w:sz w:val="22"/>
        </w:rPr>
        <w:t>means service or support provided by an agency to a member that will allow the member to achieve an outcome. This can include a written, formal, consistent trackable method or an informal process that is not written but is trackable.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and objectives for the population of a specified geographic area or for special target populations. It can mean an agency, organization, or unit of an agency,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brain injury professional”</w:t>
      </w:r>
      <w:r>
        <w:rPr>
          <w:rFonts w:ascii="Times New Roman" w:hAnsi="Times New Roman"/>
          <w:b w:val="false"/>
          <w:i w:val="false"/>
          <w:color w:val="000000"/>
          <w:sz w:val="22"/>
        </w:rPr>
        <w:t> </w:t>
      </w:r>
      <w:r>
        <w:rPr>
          <w:rFonts w:ascii="Times New Roman" w:hAnsi="Times New Roman"/>
          <w:b w:val="false"/>
          <w:i w:val="false"/>
          <w:color w:val="000000"/>
          <w:sz w:val="22"/>
        </w:rPr>
        <w:t>means one of the following who meets the educational and licensure or certification requirements for the profession as required in the state of Iowa and who has two years’ experience working with people living with a brain injury: a psychologist; psychiatrist; physician; physician associate; registered nurse; certified teacher; licensed clinical social worker; mental health counselor; physical, occupational, recreational, or speech therapist; or a person with a bachelor of arts or science degree in human services, social work, psychology, sociology, or public health or rehabilitation services plus 4,000 hours of direct experience with people living with a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coordination”</w:t>
      </w:r>
      <w:r>
        <w:rPr>
          <w:rFonts w:ascii="Times New Roman" w:hAnsi="Times New Roman"/>
          <w:b w:val="false"/>
          <w:i w:val="false"/>
          <w:color w:val="000000"/>
          <w:sz w:val="22"/>
        </w:rPr>
        <w:t> </w:t>
      </w:r>
      <w:r>
        <w:rPr>
          <w:rFonts w:ascii="Times New Roman" w:hAnsi="Times New Roman"/>
          <w:b w:val="false"/>
          <w:i w:val="false"/>
          <w:color w:val="000000"/>
          <w:sz w:val="22"/>
        </w:rPr>
        <w:t>means activities designed to help individuals and families locate, access, and coordinate a network of supports and services that will allow them to live a full life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July 1, 2026.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5">
        <w:r>
          <w:rPr>
            <w:rStyle w:val="Hyperlink"/>
            <w:rFonts w:ascii="Times New Roman" w:hAnsi="Times New Roman"/>
            <w:b w:val="false"/>
            <w:i w:val="false"/>
            <w:color w:val="000000"/>
            <w:sz w:val="22"/>
          </w:rPr>
          <w:t>441—79.10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that require the skills of medical personnel, including registered nurses, licensed practical nurses, physical therapists, occupational therapists, speech pathologists, or audiologists.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that skilled services are provided to the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“Staff”</w:t>
      </w:r>
      <w:r>
        <w:rPr>
          <w:rFonts w:ascii="Times New Roman" w:hAnsi="Times New Roman"/>
          <w:b w:val="false"/>
          <w:i w:val="false"/>
          <w:color w:val="000000"/>
          <w:sz w:val="22"/>
        </w:rPr>
        <w:t> </w:t>
      </w:r>
      <w:r>
        <w:rPr>
          <w:rFonts w:ascii="Times New Roman" w:hAnsi="Times New Roman"/>
          <w:b w:val="false"/>
          <w:i w:val="false"/>
          <w:color w:val="000000"/>
          <w:sz w:val="22"/>
        </w:rPr>
        <w:t>means a person under the direction of the organization to perform duties and responsibilities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individual, institution, corporation, or public or private provider that is liable to pay part or all of the medical costs incurred as a result of injury or disease on behalf of a member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“Usual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who reside with the member and are available on a 24-hour-per-day basis to assume responsibility for the care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B.1.pdf" Type="http://schemas.openxmlformats.org/officeDocument/2006/relationships/hyperlink" Id="rId4"/>
    <Relationship TargetMode="External" Target="https://www.legis.iowa.gov/docs/iac/rule/441.79.10.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