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441—83.8</w:t>
      </w:r>
      <w:r>
        <w:rPr>
          <w:rFonts w:ascii="Times New Roman" w:hAnsi="Times New Roman"/>
          <w:b/>
          <w:i w:val="false"/>
          <w:color w:val="000000"/>
          <w:sz w:val="22"/>
        </w:rPr>
        <w:t xml:space="preserve">(249A) </w:t>
      </w:r>
      <w:r>
        <w:rPr>
          <w:rFonts w:ascii="Times New Roman" w:hAnsi="Times New Roman"/>
          <w:b/>
          <w:i w:val="false"/>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An application for services will be denied when it is determined by the department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is not eligible for or in need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qualified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needs exceed the aggregate monthly costs established in paragraph </w:t>
      </w:r>
      <w:hyperlink r:id="rId4">
        <w:r>
          <w:rPr>
            <w:rStyle w:val="Hyperlink"/>
            <w:rFonts w:ascii="Times New Roman" w:hAnsi="Times New Roman"/>
            <w:b w:val="false"/>
            <w:i w:val="false"/>
            <w:color w:val="000000"/>
            <w:sz w:val="22"/>
          </w:rPr>
          <w:t>83.2(2)</w:t>
        </w:r>
      </w:hyperlink>
      <w:r>
        <w:rPr>
          <w:rFonts w:ascii="Times New Roman" w:hAnsi="Times New Roman"/>
          <w:b w:val="false"/>
          <w:i/>
          <w:color w:val="000000"/>
          <w:sz w:val="22"/>
        </w:rPr>
        <w:t>“b,”</w:t>
      </w:r>
      <w:r>
        <w:rPr>
          <w:rFonts w:ascii="Times New Roman" w:hAnsi="Times New Roman"/>
          <w:b w:val="false"/>
          <w:i w:val="false"/>
          <w:color w:val="000000"/>
          <w:sz w:val="22"/>
        </w:rPr>
        <w:t xml:space="preserve"> or are not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83.8(2)</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5">
        <w:r>
          <w:rPr>
            <w:rStyle w:val="Hyperlink"/>
            <w:rFonts w:ascii="Times New Roman" w:hAnsi="Times New Roman"/>
            <w:b w:val="false"/>
            <w:i w:val="false"/>
            <w:color w:val="000000"/>
            <w:sz w:val="22"/>
          </w:rPr>
          <w:t>441—paragraph 130.5(2)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the health and disability waiver service for the person exceed the aggregate monthly costs established in paragraph </w:t>
      </w:r>
      <w:hyperlink r:id="rId6">
        <w:r>
          <w:rPr>
            <w:rStyle w:val="Hyperlink"/>
            <w:rFonts w:ascii="Times New Roman" w:hAnsi="Times New Roman"/>
            <w:b w:val="false"/>
            <w:i w:val="false"/>
            <w:color w:val="000000"/>
            <w:sz w:val="22"/>
          </w:rPr>
          <w:t>83.2(2)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receives care in a hospital, nursing facility, or intermediate care facility for persons with an intellectual disability for 120 days in any one stay for purposes other than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receives health and disability waiver services and the physical or mental condition of the member requires more care than can be provided in the member’s own home as determined by the designated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 providers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83.8(3)</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 xml:space="preserve">Reduction of services will apply as specified in 441—paragraphs </w:t>
      </w:r>
      <w:hyperlink r:id="rId7">
        <w:r>
          <w:rPr>
            <w:rStyle w:val="Hyperlink"/>
            <w:rFonts w:ascii="Times New Roman" w:hAnsi="Times New Roman"/>
            <w:b w:val="false"/>
            <w:i w:val="false"/>
            <w:color w:val="000000"/>
            <w:sz w:val="22"/>
          </w:rPr>
          <w:t>130.5(3)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83.2.pdf" Type="http://schemas.openxmlformats.org/officeDocument/2006/relationships/hyperlink" Id="rId4"/>
    <Relationship TargetMode="External" Target="https://www.legis.iowa.gov/docs/iac/rule/441.130.5.pdf" Type="http://schemas.openxmlformats.org/officeDocument/2006/relationships/hyperlink" Id="rId5"/>
    <Relationship TargetMode="External" Target="https://www.legis.iowa.gov/docs/iac/rule/441.83.2.pdf" Type="http://schemas.openxmlformats.org/officeDocument/2006/relationships/hyperlink" Id="rId6"/>
    <Relationship TargetMode="External" Target="https://www.legis.iowa.gov/docs/iac/rule/441.130.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