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service plan shall be prepared for health and disability waiver members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90.4(1)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Service plans for both children and adults shall be completed every 12 months or when there is significant change in the person’s situation or condition.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shall include the frequency of the health and disability waiver services and the types of providers that will deliver the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shall indicate whether the member has elected the consumer choices option. If the member has elected the consumer choices option, the service plan shall identify: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independent support broker selected by the member;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financial management service selected by the member.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shall also list all nonwaiver Medicaid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shall identify a plan for emergencies and the supports available to the member in an emergency.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0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