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441—83.67</w:t>
      </w:r>
      <w:r>
        <w:rPr>
          <w:rFonts w:ascii="Times New Roman" w:hAnsi="Times New Roman"/>
          <w:b/>
          <w:i w:val="false"/>
          <w:color w:val="000000"/>
          <w:sz w:val="22"/>
        </w:rPr>
        <w:t xml:space="preserve">(249A) </w:t>
      </w:r>
      <w:r>
        <w:rPr>
          <w:rFonts w:ascii="Times New Roman" w:hAnsi="Times New Roman"/>
          <w:b/>
          <w:i w:val="false"/>
          <w:color w:val="000000"/>
          <w:sz w:val="22"/>
        </w:rPr>
        <w:t xml:space="preserve">Service plan. </w:t>
      </w:r>
      <w:r>
        <w:rPr>
          <w:rFonts w:ascii="Times New Roman" w:hAnsi="Times New Roman"/>
          <w:b w:val="false"/>
          <w:i w:val="false"/>
          <w:color w:val="000000"/>
          <w:sz w:val="22"/>
        </w:rPr>
        <w:t>A service plan will be prepared for each HCBS intellectual disability waiver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83.67(1)</w:t>
      </w:r>
      <w:r>
        <w:rPr>
          <w:rFonts w:ascii="Times New Roman" w:hAnsi="Times New Roman"/>
          <w:b w:val="false"/>
          <w:i w:val="false"/>
          <w:color w:val="000000"/>
          <w:sz w:val="22"/>
        </w:rPr>
        <w:t> </w:t>
      </w:r>
      <w:r>
        <w:rPr>
          <w:rFonts w:ascii="Times New Roman" w:hAnsi="Times New Roman"/>
          <w:b w:val="false"/>
          <w:i/>
          <w:color w:val="000000"/>
          <w:sz w:val="22"/>
        </w:rPr>
        <w:t xml:space="preserve">Development. </w:t>
      </w:r>
      <w:r>
        <w:rPr>
          <w:rFonts w:ascii="Times New Roman" w:hAnsi="Times New Roman"/>
          <w:b w:val="false"/>
          <w:i w:val="false"/>
          <w:color w:val="000000"/>
          <w:sz w:val="22"/>
        </w:rPr>
        <w:t>The service plan will be developed by the interdisciplinary team that includes the member, and, if appropriate, the legal representative, member’s family, case manager or service worker, service providers, and others directly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83.67(2)</w:t>
      </w:r>
      <w:r>
        <w:rPr>
          <w:rFonts w:ascii="Times New Roman" w:hAnsi="Times New Roman"/>
          <w:b w:val="false"/>
          <w:i w:val="false"/>
          <w:color w:val="000000"/>
          <w:sz w:val="22"/>
        </w:rPr>
        <w:t> </w:t>
      </w:r>
      <w:r>
        <w:rPr>
          <w:rFonts w:ascii="Times New Roman" w:hAnsi="Times New Roman"/>
          <w:b w:val="false"/>
          <w:i/>
          <w:color w:val="000000"/>
          <w:sz w:val="22"/>
        </w:rPr>
        <w:t xml:space="preserve">Retention. </w:t>
      </w:r>
      <w:r>
        <w:rPr>
          <w:rFonts w:ascii="Times New Roman" w:hAnsi="Times New Roman"/>
          <w:b w:val="false"/>
          <w:i w:val="false"/>
          <w:color w:val="000000"/>
          <w:sz w:val="22"/>
        </w:rPr>
        <w:t>The service plan will be stored by the case manager for a minimum of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83.67(3)</w:t>
      </w:r>
      <w:r>
        <w:rPr>
          <w:rFonts w:ascii="Times New Roman" w:hAnsi="Times New Roman"/>
          <w:b w:val="false"/>
          <w:i w:val="false"/>
          <w:color w:val="000000"/>
          <w:sz w:val="22"/>
        </w:rPr>
        <w:t> </w:t>
      </w:r>
      <w:r>
        <w:rPr>
          <w:rFonts w:ascii="Times New Roman" w:hAnsi="Times New Roman"/>
          <w:b w:val="false"/>
          <w:i/>
          <w:color w:val="000000"/>
          <w:sz w:val="22"/>
        </w:rPr>
        <w:t xml:space="preserve">Interdisciplinary team meeting. </w:t>
      </w:r>
      <w:r>
        <w:rPr>
          <w:rFonts w:ascii="Times New Roman" w:hAnsi="Times New Roman"/>
          <w:b w:val="false"/>
          <w:i w:val="false"/>
          <w:color w:val="000000"/>
          <w:sz w:val="22"/>
        </w:rPr>
        <w:t>The interdisciplinary team meeting will be conducted before the current service plan expires.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83.67(4)</w:t>
      </w:r>
      <w:r>
        <w:rPr>
          <w:rFonts w:ascii="Times New Roman" w:hAnsi="Times New Roman"/>
          <w:b w:val="false"/>
          <w:i w:val="false"/>
          <w:color w:val="000000"/>
          <w:sz w:val="22"/>
        </w:rPr>
        <w:t> </w:t>
      </w:r>
      <w:r>
        <w:rPr>
          <w:rFonts w:ascii="Times New Roman" w:hAnsi="Times New Roman"/>
          <w:b w:val="false"/>
          <w:i/>
          <w:color w:val="000000"/>
          <w:sz w:val="22"/>
        </w:rPr>
        <w:t xml:space="preserve">Information in plan. </w:t>
      </w:r>
      <w:r>
        <w:rPr>
          <w:rFonts w:ascii="Times New Roman" w:hAnsi="Times New Roman"/>
          <w:b w:val="false"/>
          <w:i w:val="false"/>
          <w:color w:val="000000"/>
          <w:sz w:val="22"/>
        </w:rPr>
        <w:t xml:space="preserve">The plan will be in accordance with </w:t>
      </w:r>
      <w:hyperlink r:id="rId4">
        <w:r>
          <w:rPr>
            <w:rStyle w:val="Hyperlink"/>
            <w:rFonts w:ascii="Times New Roman" w:hAnsi="Times New Roman"/>
            <w:b w:val="false"/>
            <w:i w:val="false"/>
            <w:color w:val="000000"/>
            <w:sz w:val="22"/>
          </w:rPr>
          <w:t>441—subrule 24.4(3)</w:t>
        </w:r>
      </w:hyperlink>
      <w:r>
        <w:rPr>
          <w:rFonts w:ascii="Times New Roman" w:hAnsi="Times New Roman"/>
          <w:b w:val="false"/>
          <w:i w:val="false"/>
          <w:color w:val="000000"/>
          <w:sz w:val="22"/>
        </w:rPr>
        <w:t xml:space="preserve"> and will additionally include the following information to assist in evaluating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listing of all services received by a member at the time of waiver program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supported community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member’s living environment at the time of waiver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number of hours per day of on-site staff supervision needed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number of other waiver members who will live with the member in the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identification and justification of any restriction of the member’s rights,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Maintenance of personal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Self-administration of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of the service provider responsible for providing each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service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amount of the service to be received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the member has elected the consumer choices option and, if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independent support broker selected by the member;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financial management service selected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plan for emergencies and identification of the supports available to the member in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For members receiving daily supported community living, day habilitation, or adult day care, the assignment to acuity tiers is based on a mathematically valid process that identifies meaningful differences in the support needs of the members based on the interRAI-ID and ChYMH-DD scores.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83.67(5)</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The Medicaid case manager will ensure that the member’s case file contains the member’s service plan and documentation supporting the diagnosis of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83.67(6)</w:t>
      </w:r>
      <w:r>
        <w:rPr>
          <w:rFonts w:ascii="Times New Roman" w:hAnsi="Times New Roman"/>
          <w:b w:val="false"/>
          <w:i w:val="false"/>
          <w:color w:val="000000"/>
          <w:sz w:val="22"/>
        </w:rPr>
        <w:t> </w:t>
      </w:r>
      <w:r>
        <w:rPr>
          <w:rFonts w:ascii="Times New Roman" w:hAnsi="Times New Roman"/>
          <w:b w:val="false"/>
          <w:i/>
          <w:color w:val="000000"/>
          <w:sz w:val="22"/>
        </w:rPr>
        <w:t xml:space="preserve">Approval of plan. </w:t>
      </w:r>
      <w:r>
        <w:rPr>
          <w:rFonts w:ascii="Times New Roman" w:hAnsi="Times New Roman"/>
          <w:b w:val="false"/>
          <w:i w:val="false"/>
          <w:color w:val="000000"/>
          <w:sz w:val="22"/>
        </w:rPr>
        <w:t>The plan will be approved through the institutional and waiver authorization and narrative system (IoWANS). Services shall be entered into IoWANS based on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must be authorized and entered into IoWANS before the plan implementation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has 15 working days after receipt of the summary and service costs in which to approve the services and service cost or request modification of the service plan unless the parties mutually agree to extend that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department and the service worker or case manager are unable to agree on the terms of the services or service cost within ten days, the department has final authority regarding the services and service cost.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24.4.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