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441—83.64</w:t>
      </w:r>
      <w:r>
        <w:rPr>
          <w:rFonts w:ascii="Times New Roman" w:hAnsi="Times New Roman"/>
          <w:b/>
          <w:i w:val="false"/>
          <w:color w:val="000000"/>
          <w:sz w:val="22"/>
        </w:rPr>
        <w:t xml:space="preserve">(249A) </w:t>
      </w:r>
      <w:r>
        <w:rPr>
          <w:rFonts w:ascii="Times New Roman" w:hAnsi="Times New Roman"/>
          <w:b/>
          <w:i w:val="false"/>
          <w:color w:val="000000"/>
          <w:sz w:val="22"/>
        </w:rPr>
        <w:t xml:space="preserve">Redetermination. </w:t>
      </w:r>
      <w:r>
        <w:rPr>
          <w:rFonts w:ascii="Times New Roman" w:hAnsi="Times New Roman"/>
          <w:b w:val="false"/>
          <w:i w:val="false"/>
          <w:color w:val="000000"/>
          <w:sz w:val="22"/>
        </w:rPr>
        <w:t xml:space="preserve">A redetermination of nonfinancial eligibility for HCBS intellectual disability waiver services will be completed at least once every 12 months. In years in which an interRAI assessment is not completed, the core standardized assessment contractor shall conduct a review in collaboration with the case manager, documenting any changes in the member’s functional status since the previous interRAI or other full assessment. An information assessment tool will be completed annually for children under the age of six. A redetermination of continuing eligibility factors will be made when a change in circumstances occurs that affects eligibility in accordance with rule </w:t>
      </w:r>
      <w:hyperlink r:id="rId4">
        <w:r>
          <w:rPr>
            <w:rStyle w:val="Hyperlink"/>
            <w:rFonts w:ascii="Times New Roman" w:hAnsi="Times New Roman"/>
            <w:b w:val="false"/>
            <w:i w:val="false"/>
            <w:color w:val="000000"/>
            <w:sz w:val="22"/>
          </w:rPr>
          <w:t>441—83.61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83.64(1)</w:t>
      </w:r>
      <w:r>
        <w:rPr>
          <w:rFonts w:ascii="Times New Roman" w:hAnsi="Times New Roman"/>
          <w:b w:val="false"/>
          <w:i w:val="false"/>
          <w:color w:val="000000"/>
          <w:sz w:val="22"/>
        </w:rPr>
        <w:t> </w:t>
      </w:r>
      <w:r>
        <w:rPr>
          <w:rFonts w:ascii="Times New Roman" w:hAnsi="Times New Roman"/>
          <w:b w:val="false"/>
          <w:i w:val="false"/>
          <w:color w:val="000000"/>
          <w:sz w:val="22"/>
        </w:rPr>
        <w:t>The department or the member’s MCO will be responsible for annual redetermination of the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83.64(2)</w:t>
      </w:r>
      <w:r>
        <w:rPr>
          <w:rFonts w:ascii="Times New Roman" w:hAnsi="Times New Roman"/>
          <w:b w:val="false"/>
          <w:i w:val="false"/>
          <w:color w:val="000000"/>
          <w:sz w:val="22"/>
        </w:rPr>
        <w:t> </w:t>
      </w:r>
      <w:r>
        <w:rPr>
          <w:rFonts w:ascii="Times New Roman" w:hAnsi="Times New Roman"/>
          <w:b w:val="false"/>
          <w:i w:val="false"/>
          <w:color w:val="000000"/>
          <w:sz w:val="22"/>
        </w:rPr>
        <w:t>The MCO must submit documentation to the department for all reassessments, performed at least annually, that indicate a change in the member’s level of care. The department will make a final determination for any reassessments that indicate a change in the level of care. If the level of care reassessment indicates no change in level of care, the member is approved to continue at the already established level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3.6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