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441—83.62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intellectual disability waiver services. </w:t>
      </w:r>
      <w:r>
        <w:rPr>
          <w:rFonts w:ascii="Times New Roman" w:hAnsi="Times New Roman"/>
          <w:b w:val="false"/>
          <w:i w:val="false"/>
          <w:color w:val="000000"/>
          <w:sz w:val="22"/>
        </w:rPr>
        <w:t xml:space="preserve">The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intellectual disability waiver program will be processed in 30 days unless the case manager or worker can document difficulty in locating and arranging services or other circumstance beyond the worker’s control. In these cases a decision will be made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both service and income maintenance eligibility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will be given the choice between HCBS waiver services and ICF/ID care. The case manager or worker will have the member or legal representative indicate the member’s choice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HCBS intellectual disability waiver services provided before eligibility for the waiver is approved will not be reimbursed by the HCBS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provided when the person is a member of group foster care services or is an inpatient in a medical institution will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intellectual disability waiver services are not available in conjunction with other Medicaid waiver services or group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parental income and resources ceases the month following the month in which a person requires care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the criteria set forth in rule </w:t>
      </w:r>
      <w:hyperlink r:id="rId6">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criteria set forth in rule </w:t>
      </w:r>
      <w:hyperlink r:id="rId7">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 xml:space="preserve">(249A) and when the eligibility factor set forth in </w:t>
      </w:r>
      <w:hyperlink r:id="rId8">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9">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continues until the member fails to meet eligibility criteria listed in rule </w:t>
      </w:r>
      <w:hyperlink r:id="rId10">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 Members who are inpatients in a medical institution for 120 consecutive days will receive a review by the interdisciplinary team to determine additional inpatient needs for possible termination from the HCBS program. Members will be reviewed for eligibility under other Medicaid coverage groups. The member or legal representative will participate in the review and receive formal notification of that decision through a notice of decision.</w:t>
      </w:r>
    </w:p>
    <w:p>
      <w:pPr>
        <w:spacing w:before="0" w:after="0"/>
        <w:ind w:left="120"/>
        <w:jc w:val="both"/>
      </w:pPr>
      <w:r>
        <w:rPr>
          <w:rFonts w:ascii="Times New Roman" w:hAnsi="Times New Roman"/>
          <w:b w:val="false"/>
          <w:i w:val="false"/>
          <w:color w:val="000000"/>
          <w:sz w:val="22"/>
        </w:rPr>
        <w:t>If the member returns home before the effective date of the notice of decision and the member’s needs can still be met by the HCBS waiver services,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Eligibility and service reimbursement are effective through the last day of the month of the previous annual service plan staffing meeting and the corresponding long-term care need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1">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83.61.pdf" Type="http://schemas.openxmlformats.org/officeDocument/2006/relationships/hyperlink" Id="rId6"/>
    <Relationship TargetMode="External" Target="https://www.legis.iowa.gov/docs/iac/rule/441.83.61.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ac/rule/441.75.82.pdf" Type="http://schemas.openxmlformats.org/officeDocument/2006/relationships/hyperlink" Id="rId9"/>
    <Relationship TargetMode="External" Target="https://www.legis.iowa.gov/docs/iac/rule/441.83.61.pdf" Type="http://schemas.openxmlformats.org/officeDocument/2006/relationships/hyperlink" Id="rId10"/>
    <Relationship TargetMode="External" Target="https://www.legis.iowa.gov/docs/iac/rule/441.75.8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