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441—83.61</w:t>
      </w:r>
      <w:r>
        <w:rPr>
          <w:rFonts w:ascii="Times New Roman" w:hAnsi="Times New Roman"/>
          <w:b/>
          <w:i w:val="false"/>
          <w:color w:val="000000"/>
          <w:sz w:val="22"/>
        </w:rPr>
        <w:t xml:space="preserve">(249A) </w:t>
      </w:r>
      <w:r>
        <w:rPr>
          <w:rFonts w:ascii="Times New Roman" w:hAnsi="Times New Roman"/>
          <w:b/>
          <w:i w:val="false"/>
          <w:color w:val="000000"/>
          <w:sz w:val="22"/>
        </w:rPr>
        <w:t xml:space="preserve">Eligibility. </w:t>
      </w:r>
      <w:r>
        <w:rPr>
          <w:rFonts w:ascii="Times New Roman" w:hAnsi="Times New Roman"/>
          <w:b w:val="false"/>
          <w:i w:val="false"/>
          <w:color w:val="000000"/>
          <w:sz w:val="22"/>
        </w:rPr>
        <w:t>To be eligible for HCBS intellectual disability waiver services, a person must meet certain eligibility criteria and be determined to need a service(s) available under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83.61(1)</w:t>
      </w:r>
      <w:r>
        <w:rPr>
          <w:rFonts w:ascii="Times New Roman" w:hAnsi="Times New Roman"/>
          <w:b w:val="false"/>
          <w:i w:val="false"/>
          <w:color w:val="000000"/>
          <w:sz w:val="22"/>
        </w:rPr>
        <w:t> </w:t>
      </w:r>
      <w:r>
        <w:rPr>
          <w:rFonts w:ascii="Times New Roman" w:hAnsi="Times New Roman"/>
          <w:b w:val="false"/>
          <w:i/>
          <w:color w:val="000000"/>
          <w:sz w:val="22"/>
        </w:rPr>
        <w:t xml:space="preserve">Eligibility criteria. </w:t>
      </w:r>
      <w:r>
        <w:rPr>
          <w:rFonts w:ascii="Times New Roman" w:hAnsi="Times New Roman"/>
          <w:b w:val="false"/>
          <w:i w:val="false"/>
          <w:color w:val="000000"/>
          <w:sz w:val="22"/>
        </w:rPr>
        <w:t>All of the following criteria must be met. The person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Have a diagnosis of intellectual disability as defined in rule </w:t>
      </w:r>
      <w:hyperlink r:id="rId4">
        <w:r>
          <w:rPr>
            <w:rStyle w:val="Hyperlink"/>
            <w:rFonts w:ascii="Times New Roman" w:hAnsi="Times New Roman"/>
            <w:b w:val="false"/>
            <w:i w:val="false"/>
            <w:color w:val="000000"/>
            <w:sz w:val="22"/>
          </w:rPr>
          <w:t>441—83.60</w:t>
        </w:r>
      </w:hyperlink>
      <w:r>
        <w:rPr>
          <w:rFonts w:ascii="Times New Roman" w:hAnsi="Times New Roman"/>
          <w:b w:val="false"/>
          <w:i w:val="false"/>
          <w:color w:val="000000"/>
          <w:sz w:val="22"/>
        </w:rPr>
        <w:t>(249A). The diagnosis shall be initially established and recertified as follows: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380"/>
        <w:gridCol w:w="3270"/>
        <w:gridCol w:w="3270"/>
        <w:gridCol w:w="3270"/>
      </w:tblGrid>
      <w:tr>
        <w:trPr>
          <w:trHeight w:val="615" w:hRule="atLeast"/>
        </w:trPr>
        <w:tc>
          <w:tcPr>
            <w:tcW w:w="13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Age</w:t>
            </w:r>
          </w:p>
        </w:tc>
        <w:tc>
          <w:tcPr>
            <w:tcW w:w="327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Initial application to HCBS intellectual disability waiver program</w:t>
            </w:r>
          </w:p>
        </w:tc>
        <w:tc>
          <w:tcPr>
            <w:tcW w:w="327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Recertification for persons with a diagnosis of moderate, severe or profound level of severity</w:t>
            </w:r>
          </w:p>
        </w:tc>
        <w:tc>
          <w:tcPr>
            <w:tcW w:w="327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Recertification for persons with a diagnosis of mild or unspecified level of severity</w:t>
            </w:r>
          </w:p>
        </w:tc>
      </w:tr>
      <w:tr>
        <w:trPr>
          <w:trHeight w:val="1185" w:hRule="atLeast"/>
        </w:trPr>
        <w:tc>
          <w:tcPr>
            <w:tcW w:w="13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0 through 17 years</w:t>
            </w:r>
          </w:p>
        </w:tc>
        <w:tc>
          <w:tcPr>
            <w:tcW w:w="32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xml:space="preserve">Psychological documentation within three years of the application date substantiating a diagnosis of intellectual disability as defined in rule </w:t>
            </w:r>
            <w:hyperlink r:id="rId5">
              <w:r>
                <w:rPr>
                  <w:rStyle w:val="Hyperlink"/>
                  <w:rFonts w:ascii="Times New Roman" w:hAnsi="Times New Roman"/>
                  <w:b w:val="false"/>
                  <w:i w:val="false"/>
                  <w:color w:val="000000"/>
                  <w:sz w:val="17"/>
                </w:rPr>
                <w:t>441—83.60</w:t>
              </w:r>
            </w:hyperlink>
            <w:r>
              <w:rPr>
                <w:rFonts w:ascii="Times New Roman" w:hAnsi="Times New Roman"/>
                <w:b w:val="false"/>
                <w:i w:val="false"/>
                <w:color w:val="000000"/>
                <w:sz w:val="17"/>
              </w:rPr>
              <w:t>(249A)</w:t>
            </w:r>
          </w:p>
        </w:tc>
        <w:tc>
          <w:tcPr>
            <w:tcW w:w="32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xml:space="preserve">After the initial psychological evaluation, substantiate a diagnosis of intellectual disability as defined in rule </w:t>
            </w:r>
            <w:hyperlink r:id="rId6">
              <w:r>
                <w:rPr>
                  <w:rStyle w:val="Hyperlink"/>
                  <w:rFonts w:ascii="Times New Roman" w:hAnsi="Times New Roman"/>
                  <w:b w:val="false"/>
                  <w:i w:val="false"/>
                  <w:color w:val="000000"/>
                  <w:sz w:val="17"/>
                </w:rPr>
                <w:t>441—83.60</w:t>
              </w:r>
            </w:hyperlink>
            <w:r>
              <w:rPr>
                <w:rFonts w:ascii="Times New Roman" w:hAnsi="Times New Roman"/>
                <w:b w:val="false"/>
                <w:i w:val="false"/>
                <w:color w:val="000000"/>
                <w:sz w:val="17"/>
              </w:rPr>
              <w:t>(249A) every six years and when a significant change occurs</w:t>
            </w:r>
          </w:p>
        </w:tc>
        <w:tc>
          <w:tcPr>
            <w:tcW w:w="327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xml:space="preserve">After the initial psychological evaluation, substantiate a diagnosis of intellectual disability as defined in rule </w:t>
            </w:r>
            <w:hyperlink r:id="rId7">
              <w:r>
                <w:rPr>
                  <w:rStyle w:val="Hyperlink"/>
                  <w:rFonts w:ascii="Times New Roman" w:hAnsi="Times New Roman"/>
                  <w:b w:val="false"/>
                  <w:i w:val="false"/>
                  <w:color w:val="000000"/>
                  <w:sz w:val="17"/>
                </w:rPr>
                <w:t>441—83.60</w:t>
              </w:r>
            </w:hyperlink>
            <w:r>
              <w:rPr>
                <w:rFonts w:ascii="Times New Roman" w:hAnsi="Times New Roman"/>
                <w:b w:val="false"/>
                <w:i w:val="false"/>
                <w:color w:val="000000"/>
                <w:sz w:val="17"/>
              </w:rPr>
              <w:t>(249A) every three years and when a significant change occurs</w:t>
            </w:r>
          </w:p>
        </w:tc>
      </w:tr>
      <w:tr>
        <w:trPr>
          <w:trHeight w:val="2145" w:hRule="atLeast"/>
        </w:trPr>
        <w:tc>
          <w:tcPr>
            <w:tcW w:w="138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18 years and above</w:t>
            </w:r>
          </w:p>
        </w:tc>
        <w:tc>
          <w:tcPr>
            <w:tcW w:w="327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Current psychological documentation substantiating a diagnosis of intellectual disability if the last testing date was (1) more than six years ago for an applicant with a diagnosis of mild or unspecified severity, or (2) more than ten years ago for an applicant with a diagnosis of moderate, severe or profound level of severity</w:t>
            </w:r>
          </w:p>
        </w:tc>
        <w:tc>
          <w:tcPr>
            <w:tcW w:w="327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Psychological documentation substantiating a diagnosis of intellectual disability made since the member reached 22 years of age</w:t>
            </w:r>
          </w:p>
        </w:tc>
        <w:tc>
          <w:tcPr>
            <w:tcW w:w="32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Psychological documentation substantiating a diagnosis of intellectual disability every six years and whenever a significant change occurs</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eligible for Medicaid under supplemental security income (SSI), SSI-related, FMAP, or FMAP-related coverage groups; eligible under the special income level (300 percent) coverage group; or become eligible through application of the institutional deeming rules or would be eligible for Medicaid if in a medical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certified as being in need for long-term care that, but for the waiver, would otherwise be provided in an ICF/ID. The department will be responsible for the initial approval, and the department or an MCO will be responsible for the annual approval of the certification of the level of care based on the data collected by the case manager and interdisciplinary team on a tool designated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 a recipient of the Medicaid case management services or be identified to receive Medicaid case management services immediately following program enrollment.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Have service needs that can be met by this waiver program. At a minimum, a member must receive one billable unit of service per calendar quarter under this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Have a service plan completed annually and approved by the department in accordance with rule </w:t>
      </w:r>
      <w:hyperlink r:id="rId8">
        <w:r>
          <w:rPr>
            <w:rStyle w:val="Hyperlink"/>
            <w:rFonts w:ascii="Times New Roman" w:hAnsi="Times New Roman"/>
            <w:b w:val="false"/>
            <w:i w:val="false"/>
            <w:color w:val="000000"/>
            <w:sz w:val="22"/>
          </w:rPr>
          <w:t>441—83.67</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For individual supported employment and long-term job coaching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at least 16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services must not be available to the member through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Special education and related services as defined in the Individuals with Disabilities Education Act (</w:t>
      </w:r>
      <w:r>
        <w:rPr>
          <w:rFonts w:ascii="Times New Roman" w:hAnsi="Times New Roman"/>
          <w:b w:val="false"/>
          <w:i w:val="false"/>
          <w:color w:val="000000"/>
          <w:sz w:val="22"/>
        </w:rPr>
        <w:t>20 U.S.C. 1401 et seq.</w:t>
      </w:r>
      <w:r>
        <w:rPr>
          <w:rFonts w:ascii="Times New Roman" w:hAnsi="Times New Roman"/>
          <w:b w:val="false"/>
          <w:i w:val="false"/>
          <w:color w:val="000000"/>
          <w:sz w:val="22"/>
        </w:rPr>
        <w:t>) as amended to July 1, 2026;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program funded under </w:t>
      </w:r>
      <w:r>
        <w:rPr>
          <w:rFonts w:ascii="Times New Roman" w:hAnsi="Times New Roman"/>
          <w:b w:val="false"/>
          <w:i w:val="false"/>
          <w:color w:val="000000"/>
          <w:sz w:val="22"/>
        </w:rPr>
        <w:t>Section 110 of the Rehabilitation Act of 1973</w:t>
      </w:r>
      <w:r>
        <w:rPr>
          <w:rFonts w:ascii="Times New Roman" w:hAnsi="Times New Roman"/>
          <w:b w:val="false"/>
          <w:i w:val="false"/>
          <w:color w:val="000000"/>
          <w:sz w:val="22"/>
        </w:rPr>
        <w:t xml:space="preserve"> (</w:t>
      </w:r>
      <w:r>
        <w:rPr>
          <w:rFonts w:ascii="Times New Roman" w:hAnsi="Times New Roman"/>
          <w:b w:val="false"/>
          <w:i w:val="false"/>
          <w:color w:val="000000"/>
          <w:sz w:val="22"/>
        </w:rPr>
        <w:t>29 U.S.C. 730</w:t>
      </w:r>
      <w:r>
        <w:rPr>
          <w:rFonts w:ascii="Times New Roman" w:hAnsi="Times New Roman"/>
          <w:b w:val="false"/>
          <w:i w:val="false"/>
          <w:color w:val="000000"/>
          <w:sz w:val="22"/>
        </w:rPr>
        <w:t>)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Not reside in a medical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Have documented in the waiver service plan a goal to achieve or to sustain individual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For small-group supported employment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at least 16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services must not be available to the member through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Special education and related services as defined in the Individuals with Disabilities Education Act (</w:t>
      </w:r>
      <w:r>
        <w:rPr>
          <w:rFonts w:ascii="Times New Roman" w:hAnsi="Times New Roman"/>
          <w:b w:val="false"/>
          <w:i w:val="false"/>
          <w:color w:val="000000"/>
          <w:sz w:val="22"/>
        </w:rPr>
        <w:t>20 U.S.C. 1401 et seq.</w:t>
      </w:r>
      <w:r>
        <w:rPr>
          <w:rFonts w:ascii="Times New Roman" w:hAnsi="Times New Roman"/>
          <w:b w:val="false"/>
          <w:i w:val="false"/>
          <w:color w:val="000000"/>
          <w:sz w:val="22"/>
        </w:rPr>
        <w:t>) as amended to July 1, 2026;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program funded under </w:t>
      </w:r>
      <w:r>
        <w:rPr>
          <w:rFonts w:ascii="Times New Roman" w:hAnsi="Times New Roman"/>
          <w:b w:val="false"/>
          <w:i w:val="false"/>
          <w:color w:val="000000"/>
          <w:sz w:val="22"/>
        </w:rPr>
        <w:t>Section 110 of the Rehabilitation Act of 1973</w:t>
      </w:r>
      <w:r>
        <w:rPr>
          <w:rFonts w:ascii="Times New Roman" w:hAnsi="Times New Roman"/>
          <w:b w:val="false"/>
          <w:i w:val="false"/>
          <w:color w:val="000000"/>
          <w:sz w:val="22"/>
        </w:rPr>
        <w:t xml:space="preserve"> (</w:t>
      </w:r>
      <w:r>
        <w:rPr>
          <w:rFonts w:ascii="Times New Roman" w:hAnsi="Times New Roman"/>
          <w:b w:val="false"/>
          <w:i w:val="false"/>
          <w:color w:val="000000"/>
          <w:sz w:val="22"/>
        </w:rPr>
        <w:t>29 U.S.C. 730</w:t>
      </w:r>
      <w:r>
        <w:rPr>
          <w:rFonts w:ascii="Times New Roman" w:hAnsi="Times New Roman"/>
          <w:b w:val="false"/>
          <w:i w:val="false"/>
          <w:color w:val="000000"/>
          <w:sz w:val="22"/>
        </w:rPr>
        <w:t>)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Have documented in the waiver service plan a goal to achieve or to sustain individual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Have documented in the waiver service plan that the choice to receive individual supported employment services was offered and explained in a manner sufficient to ensure informed choice, after which the choice to receive small-group supported employment services was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Not reside in a medical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For prevocational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at least 16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services must not be available to the member through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Special education and related services as defined in the Individuals with Disabilities Education Act (</w:t>
      </w:r>
      <w:r>
        <w:rPr>
          <w:rFonts w:ascii="Times New Roman" w:hAnsi="Times New Roman"/>
          <w:b w:val="false"/>
          <w:i w:val="false"/>
          <w:color w:val="000000"/>
          <w:sz w:val="22"/>
        </w:rPr>
        <w:t>20 U.S.C. 1401 et seq.</w:t>
      </w:r>
      <w:r>
        <w:rPr>
          <w:rFonts w:ascii="Times New Roman" w:hAnsi="Times New Roman"/>
          <w:b w:val="false"/>
          <w:i w:val="false"/>
          <w:color w:val="000000"/>
          <w:sz w:val="22"/>
        </w:rPr>
        <w:t>) as amended to July 1, 2026;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program funded under </w:t>
      </w:r>
      <w:r>
        <w:rPr>
          <w:rFonts w:ascii="Times New Roman" w:hAnsi="Times New Roman"/>
          <w:b w:val="false"/>
          <w:i w:val="false"/>
          <w:color w:val="000000"/>
          <w:sz w:val="22"/>
        </w:rPr>
        <w:t>Section 110 of the Rehabilitation Act of 1973</w:t>
      </w:r>
      <w:r>
        <w:rPr>
          <w:rFonts w:ascii="Times New Roman" w:hAnsi="Times New Roman"/>
          <w:b w:val="false"/>
          <w:i w:val="false"/>
          <w:color w:val="000000"/>
          <w:sz w:val="22"/>
        </w:rPr>
        <w:t xml:space="preserve"> (</w:t>
      </w:r>
      <w:r>
        <w:rPr>
          <w:rFonts w:ascii="Times New Roman" w:hAnsi="Times New Roman"/>
          <w:b w:val="false"/>
          <w:i w:val="false"/>
          <w:color w:val="000000"/>
          <w:sz w:val="22"/>
        </w:rPr>
        <w:t>29 U.S.C. 730</w:t>
      </w:r>
      <w:r>
        <w:rPr>
          <w:rFonts w:ascii="Times New Roman" w:hAnsi="Times New Roman"/>
          <w:b w:val="false"/>
          <w:i w:val="false"/>
          <w:color w:val="000000"/>
          <w:sz w:val="22"/>
        </w:rPr>
        <w:t>)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Have documented in the waiver service plan a goal to achieve or to sustain individual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Have documented in the waiver service plan that the choice to receive individual supported employment services was offered and explained in a manner sufficient to ensure informed choice, after which the choice to receive small-group supported employment services was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Not reside in a medical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Choose HCBS intellectual disability waiver services rather than ICF/ID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To be eligible for interim medical monitoring and treatment services the member must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Under the age of 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Currently receiving home health agency services under rule </w:t>
      </w:r>
      <w:hyperlink r:id="rId9">
        <w:r>
          <w:rPr>
            <w:rStyle w:val="Hyperlink"/>
            <w:rFonts w:ascii="Times New Roman" w:hAnsi="Times New Roman"/>
            <w:b w:val="false"/>
            <w:i w:val="false"/>
            <w:color w:val="000000"/>
            <w:sz w:val="22"/>
          </w:rPr>
          <w:t>441—78.9</w:t>
        </w:r>
      </w:hyperlink>
      <w:r>
        <w:rPr>
          <w:rFonts w:ascii="Times New Roman" w:hAnsi="Times New Roman"/>
          <w:b w:val="false"/>
          <w:i w:val="false"/>
          <w:color w:val="000000"/>
          <w:sz w:val="22"/>
        </w:rPr>
        <w:t>(249A) and require medical assessment, medical monitoring, and regular medical intervention or intervention in a medical emergency during those services. (The home health aide services for which the member is eligible must be maximized before the member accesses interim medical monitoring and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Residing in the member’s family home or foster family home;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 need of interim medical monitoring and treatment as ordered by a physician, nurse practitioner, clinical nurse specialist, or physician associate.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Be assigned an HCBS intellectual disability payment slot pursuant to subrule </w:t>
      </w:r>
      <w:hyperlink r:id="rId10">
        <w:r>
          <w:rPr>
            <w:rStyle w:val="Hyperlink"/>
            <w:rFonts w:ascii="Times New Roman" w:hAnsi="Times New Roman"/>
            <w:b w:val="false"/>
            <w:i w:val="false"/>
            <w:color w:val="000000"/>
            <w:sz w:val="22"/>
          </w:rPr>
          <w:t>83.61(4)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For residential-based supported community living services, meet all of the following additional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less than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preapproved as appropriate for residential-based supported community living services by the department. Requests for approval shall be submitted in writing to the department and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Social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Case history that includes previous placements and service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Medical history that includes major illnesses and current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Current psychological evaluations and consultations;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Summary of all reasonable and appropriate service alternatives that have been tried or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current court orders in effect regarding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Any legal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Whether the child is at risk of out-of-home placement or the proposed placement would be less restrictive than the child’s current placement for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Whether the proposed placement would be safe for the child and for other children living in that setting;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Whether the interdisciplinary team is in agreement with the proposed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residing in an ICF/ID;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Be at risk of ICF/ID placement, as documented by an interdisciplinary team assessment pursuant to paragraph </w:t>
      </w:r>
      <w:hyperlink r:id="rId11">
        <w:r>
          <w:rPr>
            <w:rStyle w:val="Hyperlink"/>
            <w:rFonts w:ascii="Times New Roman" w:hAnsi="Times New Roman"/>
            <w:b w:val="false"/>
            <w:i w:val="false"/>
            <w:color w:val="000000"/>
            <w:sz w:val="22"/>
          </w:rPr>
          <w:t>83.61(2)</w:t>
        </w:r>
      </w:hyperlink>
      <w:r>
        <w:rPr>
          <w:rFonts w:ascii="Times New Roman" w:hAnsi="Times New Roman"/>
          <w:b w:val="false"/>
          <w:i/>
          <w:color w:val="000000"/>
          <w:sz w:val="22"/>
        </w:rPr>
        <w:t>“a”</w:t>
      </w:r>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a child whose long-term placement outside the home is necessary because continued stay in the home would be a detriment to the health and welfare of the child or the family, and all service options to keep the child in the home have been reviewed by an interdisciplinary team, as documented in the service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For day habilitation, be 16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consumer choices option as set forth in </w:t>
      </w:r>
      <w:hyperlink r:id="rId12">
        <w:r>
          <w:rPr>
            <w:rStyle w:val="Hyperlink"/>
            <w:rFonts w:ascii="Times New Roman" w:hAnsi="Times New Roman"/>
            <w:b w:val="false"/>
            <w:i w:val="false"/>
            <w:color w:val="000000"/>
            <w:sz w:val="22"/>
          </w:rPr>
          <w:t>441—subrule 78.41(15)</w:t>
        </w:r>
      </w:hyperlink>
      <w:r>
        <w:rPr>
          <w:rFonts w:ascii="Times New Roman" w:hAnsi="Times New Roman"/>
          <w:b w:val="false"/>
          <w:i w:val="false"/>
          <w:color w:val="000000"/>
          <w:sz w:val="22"/>
        </w:rPr>
        <w:t>, not be living in a residential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83.61(2)</w:t>
      </w:r>
      <w:r>
        <w:rPr>
          <w:rFonts w:ascii="Times New Roman" w:hAnsi="Times New Roman"/>
          <w:b w:val="false"/>
          <w:i w:val="false"/>
          <w:color w:val="000000"/>
          <w:sz w:val="22"/>
        </w:rPr>
        <w:t> </w:t>
      </w:r>
      <w:r>
        <w:rPr>
          <w:rFonts w:ascii="Times New Roman" w:hAnsi="Times New Roman"/>
          <w:b w:val="false"/>
          <w:i/>
          <w:color w:val="000000"/>
          <w:sz w:val="22"/>
        </w:rPr>
        <w:t xml:space="preserve">Need for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Applicants currently receiving Medicaid case management shall have the applicable staff coordinate with the department to arrange completion of the interRAI assessment tool.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not receiving services as set forth in paragraph </w:t>
      </w:r>
      <w:hyperlink r:id="rId13">
        <w:r>
          <w:rPr>
            <w:rStyle w:val="Hyperlink"/>
            <w:rFonts w:ascii="Times New Roman" w:hAnsi="Times New Roman"/>
            <w:b w:val="false"/>
            <w:i w:val="false"/>
            <w:color w:val="000000"/>
            <w:sz w:val="22"/>
          </w:rPr>
          <w:t>83.61(2)</w:t>
        </w:r>
      </w:hyperlink>
      <w:r>
        <w:rPr>
          <w:rFonts w:ascii="Times New Roman" w:hAnsi="Times New Roman"/>
          <w:b w:val="false"/>
          <w:i/>
          <w:color w:val="000000"/>
          <w:sz w:val="22"/>
        </w:rPr>
        <w:t>“a”</w:t>
      </w:r>
      <w:r>
        <w:rPr>
          <w:rFonts w:ascii="Times New Roman" w:hAnsi="Times New Roman"/>
          <w:b w:val="false"/>
          <w:i w:val="false"/>
          <w:color w:val="000000"/>
          <w:sz w:val="22"/>
        </w:rPr>
        <w:t xml:space="preserve"> shall have a department service worker or case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Arrange for completion of the interRAI assessment tool for the initial level of care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Establish an initial interdisciplinary team for HCBS intellectual disability waiver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With the initial interdisciplinary team, identify the applicant’s needs and desires as well as the availability and appropriateness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Applicants meeting other eligibility criteria who do not have a Medicaid case manager will be referred to a Medicaid case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Services will not exceed the number of maximum units established for each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cost of services shall not exceed unit expense maximums. Requests will only be reviewed for funding needs exceeding the supported community living service unit cost maximum. Requests require special review by the department and may be denied as not cost-effective.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case manager shall coordinate with the department for completion of an interRAI assessment tool for the initial level of care determination within 30 days from the date of the HCBS application unless the case manager can document difficulty in locating information necessary to arrange the assessment or other circumstances beyond the case manager’s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At initial enrollment, the case manager will establish an interdisciplinary team for each applicant and, with the team, identify the applicant’s need for service based on the applicant’s needs and desires as well as the availability and appropriateness of services. The Medicaid case manager will complete an annual review thereafter. The following criteria will be used for the initial and ongoing identification of need for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assessment will be based on the results of the most recent interRAI assessment or the off-year assessment tool.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Service plans must be developed or reviewed to reflect use of all appropriate nonwaiver Medicaid services so as not to replace or duplicate those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Service plans for applicants aged 16 or under which include supported community living services beyond intermittent will be approved (signed and dated) by the department. The service worker, department QIDP, or Medicaid case manager will attach a written request for a variance from the maximum for intermittent supported community living with a summary of services and service costs. The written request for the variance will provide a rationale for requesting supported community living beyond intermittent. The rationale will contain sufficient information for the designee to make a decision regarding the need for supported community living beyond intermittent.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Interim medical monitoring and treatment services must be needed because all usual caregivers are unavailable to provide care due to one of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Employment. Interim medical monitoring and treatment services are to be received only during hours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Academic or vocational training. Interim medical monitoring and treatment services provided while a usual caregiver participates in postsecondary education or vocational training shall be limited to 24 periods of no more than 30 days each per caregiver as documented by the service worker. Time spent in high school completion, adult basic education, GED, or English as a second language does not count toward the limit.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Absence from the home due to hospitalization, treatment for physical or mental illness, or death of the usual caregiver. Interim medical monitoring and treatment services under this subparagraph are limited to a maximum of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Search for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Care during job search shall be limited to only those hours the usual caregiver is actually looking for employment, including travel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Interim medical monitoring and treatment services may be provided under this paragraph only during the execution of one job search plan of up to 30 working days in a 12-month period, approved by the department service worker or targeted case manager pursuant to </w:t>
      </w:r>
      <w:hyperlink r:id="rId14">
        <w:r>
          <w:rPr>
            <w:rStyle w:val="Hyperlink"/>
            <w:rFonts w:ascii="Times New Roman" w:hAnsi="Times New Roman"/>
            <w:b w:val="false"/>
            <w:i w:val="false"/>
            <w:color w:val="000000"/>
            <w:sz w:val="22"/>
          </w:rPr>
          <w:t>441—subparagraph 170.2(2)</w:t>
        </w:r>
      </w:hyperlink>
      <w:r>
        <w:rPr>
          <w:rFonts w:ascii="Times New Roman" w:hAnsi="Times New Roman"/>
          <w:b w:val="false"/>
          <w:i/>
          <w:color w:val="000000"/>
          <w:sz w:val="22"/>
        </w:rPr>
        <w:t>“b”</w:t>
      </w:r>
      <w:r>
        <w:rPr>
          <w:rFonts w:ascii="Times New Roman" w:hAnsi="Times New Roman"/>
          <w:b w:val="false"/>
          <w:i w:val="false"/>
          <w:color w:val="000000"/>
          <w:sz w:val="22"/>
        </w:rPr>
        <w:t>(5).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Documentation of job search contacts shall be furnished to the department service worker or targeted case manager.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83.61(3)</w:t>
      </w:r>
      <w:r>
        <w:rPr>
          <w:rFonts w:ascii="Times New Roman" w:hAnsi="Times New Roman"/>
          <w:b w:val="false"/>
          <w:i w:val="false"/>
          <w:color w:val="000000"/>
          <w:sz w:val="22"/>
        </w:rPr>
        <w:t> </w:t>
      </w:r>
      <w:r>
        <w:rPr>
          <w:rFonts w:ascii="Times New Roman" w:hAnsi="Times New Roman"/>
          <w:b w:val="false"/>
          <w:i/>
          <w:color w:val="000000"/>
          <w:sz w:val="22"/>
        </w:rPr>
        <w:t xml:space="preserve">HCBS intellectual disability waiver program limit. </w:t>
      </w:r>
      <w:r>
        <w:rPr>
          <w:rFonts w:ascii="Times New Roman" w:hAnsi="Times New Roman"/>
          <w:b w:val="false"/>
          <w:i w:val="false"/>
          <w:color w:val="000000"/>
          <w:sz w:val="22"/>
        </w:rPr>
        <w:t>The number of persons receiving HCBS intellectual disability waiver services in the state will be limited to the number of payment slots provided in the HCBS intellectual disability waiver approved by the Centers for Medicare and Medicaid Services (CMS). The department will make a request to CMS to adjust the program limit as deemed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payment slots are available on a statewide basis. These slots will be available based on the prioritized need of an applicant pursuant to subrule </w:t>
      </w:r>
      <w:hyperlink r:id="rId15">
        <w:r>
          <w:rPr>
            <w:rStyle w:val="Hyperlink"/>
            <w:rFonts w:ascii="Times New Roman" w:hAnsi="Times New Roman"/>
            <w:b w:val="false"/>
            <w:i w:val="false"/>
            <w:color w:val="000000"/>
            <w:sz w:val="22"/>
          </w:rPr>
          <w:t>83.61(4)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services are denied because the limit is reached, a notice of decision denying service based on the limit and stating that the person’s name will be put on a waiting list will be sent to the person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83.61(4)</w:t>
      </w:r>
      <w:r>
        <w:rPr>
          <w:rFonts w:ascii="Times New Roman" w:hAnsi="Times New Roman"/>
          <w:b w:val="false"/>
          <w:i w:val="false"/>
          <w:color w:val="000000"/>
          <w:sz w:val="22"/>
        </w:rPr>
        <w:t> </w:t>
      </w:r>
      <w:r>
        <w:rPr>
          <w:rFonts w:ascii="Times New Roman" w:hAnsi="Times New Roman"/>
          <w:b w:val="false"/>
          <w:i/>
          <w:color w:val="000000"/>
          <w:sz w:val="22"/>
        </w:rPr>
        <w:t xml:space="preserve">Securing a payment slot. </w:t>
      </w:r>
      <w:r>
        <w:rPr>
          <w:rFonts w:ascii="Times New Roman" w:hAnsi="Times New Roman"/>
          <w:b w:val="false"/>
          <w:i w:val="false"/>
          <w:color w:val="000000"/>
          <w:sz w:val="22"/>
        </w:rPr>
        <w:t>The department will determine whether a payment slot is available for each applicant for the HCBS intellectual disability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payment slot will be assigned to the applicant upon confirmation of an available slot.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Once a payment slot is assigned, the department will give written notice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will hold the payment slot for the applicant as long as reasonable efforts are being made to arrange services and the applicant has not been determined to be ineligible for the program. If services have not been initiated and reasonable efforts are no longer being made to arrange services, the slot will revert for use by the next person on the waiting list, if applicable. The applicant originally assigned the slot must reapply for a new slot.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no payment slot is available, the applicant will be placed on a statewide priority waiting list. The department will assess each applicant to determine the applicant’s priority need. The assessment shall be made for all applicants who are on a waiting list maintained by the state or a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Emergency need criteria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usual caregiver has died or is incapable of providing care, and no other caregivers are available to provide needed supports.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has lost primary residence or will be losing housing within 30 days and has no other housing options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applicant is living in a homeless shelter and no alternative housing options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There is founded abuse or neglect by a caregiver or others living within the home of the applicant, and the applicant must move from the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applicant cannot meet basic health and safety needs without immediate supports.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Urgent need criteria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caregiver will need support within 60 days in order for the applicant to remain living in the current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caregiver will be unable to continue to provide care within the next 60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caregiver is 55 years of age or older and has a chronic or long-term physical or psychological condition that limits the ability to provide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applicant is living in temporary housing and plans to move within 31 to 120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applicant is losing permanent housing and plans to move within 31 to 120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caregiver will be unable to be employed if services are not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There is a potential risk of abuse or neglect by a caregiver or others within the home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applicant has behaviors that put the applicant at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applicant has behaviors that put others at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applicant is at risk of facility placement when needs could be met through community-based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who meet an emergency need criterion will be placed on the priority waiting list based on the total number of criteria in subparagraph </w:t>
      </w:r>
      <w:hyperlink r:id="rId16">
        <w:r>
          <w:rPr>
            <w:rStyle w:val="Hyperlink"/>
            <w:rFonts w:ascii="Times New Roman" w:hAnsi="Times New Roman"/>
            <w:b w:val="false"/>
            <w:i w:val="false"/>
            <w:color w:val="000000"/>
            <w:sz w:val="22"/>
          </w:rPr>
          <w:t>83.61(4)</w:t>
        </w:r>
      </w:hyperlink>
      <w:r>
        <w:rPr>
          <w:rFonts w:ascii="Times New Roman" w:hAnsi="Times New Roman"/>
          <w:b w:val="false"/>
          <w:i/>
          <w:color w:val="000000"/>
          <w:sz w:val="22"/>
        </w:rPr>
        <w:t>“b”</w:t>
      </w:r>
      <w:r>
        <w:rPr>
          <w:rFonts w:ascii="Times New Roman" w:hAnsi="Times New Roman"/>
          <w:b w:val="false"/>
          <w:i w:val="false"/>
          <w:color w:val="000000"/>
          <w:sz w:val="22"/>
        </w:rPr>
        <w:t>(1) that are met. If applicants meet an equal number of criteria, the position on the waiting list will be based on the date of application and the age of the applicant. The applicant who has been on the waiting list longer will be placed higher on the waiting list. If the application date is the same, the older applicant will be placed higher on the waiting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who meet an urgent need criterion will be placed on the priority waiting list after applicants who meet emergency need criteria. The position on the waiting list will be based on the total number of criteria in subparagraph </w:t>
      </w:r>
      <w:hyperlink r:id="rId17">
        <w:r>
          <w:rPr>
            <w:rStyle w:val="Hyperlink"/>
            <w:rFonts w:ascii="Times New Roman" w:hAnsi="Times New Roman"/>
            <w:b w:val="false"/>
            <w:i w:val="false"/>
            <w:color w:val="000000"/>
            <w:sz w:val="22"/>
          </w:rPr>
          <w:t>83.61(4)</w:t>
        </w:r>
      </w:hyperlink>
      <w:r>
        <w:rPr>
          <w:rFonts w:ascii="Times New Roman" w:hAnsi="Times New Roman"/>
          <w:b w:val="false"/>
          <w:i/>
          <w:color w:val="000000"/>
          <w:sz w:val="22"/>
        </w:rPr>
        <w:t>“b”</w:t>
      </w:r>
      <w:r>
        <w:rPr>
          <w:rFonts w:ascii="Times New Roman" w:hAnsi="Times New Roman"/>
          <w:b w:val="false"/>
          <w:i w:val="false"/>
          <w:color w:val="000000"/>
          <w:sz w:val="22"/>
        </w:rPr>
        <w:t>(2) that are met. If applicants meet an equal number of criteria, the position on the waiting list will be based on the date of application and the age of the applicant. The applicant who has been on the waiting list longer will be placed higher on the waiting list. If the application date is the same, the older applicant will be placed higher on the waiting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Applicants who do not meet emergency or urgent need criteria will be placed lower on the waiting list than the applicants meeting urgent need criteria, based on the date of application. If the application date is the same, the older applicant will be placed higher on the waiting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Applicants will remain on the waiting list until a payment slot has been assigned to them for use, they withdraw from the list, or they become ineligible for the waiver. If there is a change in an applicant’s need, the applicant may contact the local department office and request that a new assessment be completed. The outcome of the assessment will determine placement on the waiting list as directed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maintain the approved number of members in the program, persons will be selected from the waiting list as payment slots become available, based on their priority order on the waiting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Once a payment slot is assigned, the department will give written notice to the person within five working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will hold the payment slot for 30 days for the person to file a new application. If an application has not been filed within 30 days, the slot will revert for use by the next person on the waiting list, if applicable. The person originally assigned the slot must reapply for a new slot.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state reserves payment slots each waiver year (July 1 to June 30) for use by children who must reside outside the family home in a residential-based supported community living licensed residential care facility. The state also reserves payment slots each waiver year (July 1 to June 30) for use by members living in an ICF/ID, nursing facility, or out-of-state placement, or transitioning from the Money Follows the Person Grant, who choose to access services in the intellectual disability waiver program and leave the ICF/ID, nursing facility, or out-of-state placement to live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Applicants who currently reside in an ICF/ID or nursing facility and have resided in that setting for four or more months may request a reserved capacity slot through the intellectual disability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Applicants will be allocated a reserved capacity slot on the basis of the date the request is received by the income maintenance worker or the waiver slot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the event that more than one request for a reserved capacity slot is received at one time, applicants will be allocated the next available reserved capacity slot on the basis of the month of birth, January being month one and the lowest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Persons who do not fall within the available reserved capacity slots will have the person’s name maintained on the reserved capacity slot waiting list. As reserved capacity slots become available at the beginning of the next waiver year, persons will be selected from the reserved capacity slot waiting list to utilize the number of approved reserved capacity slots based on the person’s order on the waiting list.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1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83.60.pdf" Type="http://schemas.openxmlformats.org/officeDocument/2006/relationships/hyperlink" Id="rId4"/>
    <Relationship TargetMode="External" Target="https://www.legis.iowa.gov/docs/iac/rule/441.83.60.pdf" Type="http://schemas.openxmlformats.org/officeDocument/2006/relationships/hyperlink" Id="rId5"/>
    <Relationship TargetMode="External" Target="https://www.legis.iowa.gov/docs/iac/rule/441.83.60.pdf" Type="http://schemas.openxmlformats.org/officeDocument/2006/relationships/hyperlink" Id="rId6"/>
    <Relationship TargetMode="External" Target="https://www.legis.iowa.gov/docs/iac/rule/441.83.60.pdf" Type="http://schemas.openxmlformats.org/officeDocument/2006/relationships/hyperlink" Id="rId7"/>
    <Relationship TargetMode="External" Target="https://www.legis.iowa.gov/docs/iac/rule/441.83.67.pdf" Type="http://schemas.openxmlformats.org/officeDocument/2006/relationships/hyperlink" Id="rId8"/>
    <Relationship TargetMode="External" Target="https://www.legis.iowa.gov/docs/iac/rule/441.78.9.pdf" Type="http://schemas.openxmlformats.org/officeDocument/2006/relationships/hyperlink" Id="rId9"/>
    <Relationship TargetMode="External" Target="https://www.legis.iowa.gov/docs/iac/rule/441.83.61.pdf" Type="http://schemas.openxmlformats.org/officeDocument/2006/relationships/hyperlink" Id="rId10"/>
    <Relationship TargetMode="External" Target="https://www.legis.iowa.gov/docs/iac/rule/441.83.61.pdf" Type="http://schemas.openxmlformats.org/officeDocument/2006/relationships/hyperlink" Id="rId11"/>
    <Relationship TargetMode="External" Target="https://www.legis.iowa.gov/docs/iac/rule/441.78.41.pdf" Type="http://schemas.openxmlformats.org/officeDocument/2006/relationships/hyperlink" Id="rId12"/>
    <Relationship TargetMode="External" Target="https://www.legis.iowa.gov/docs/iac/rule/441.83.61.pdf" Type="http://schemas.openxmlformats.org/officeDocument/2006/relationships/hyperlink" Id="rId13"/>
    <Relationship TargetMode="External" Target="https://www.legis.iowa.gov/docs/iac/rule/441.170.2.pdf" Type="http://schemas.openxmlformats.org/officeDocument/2006/relationships/hyperlink" Id="rId14"/>
    <Relationship TargetMode="External" Target="https://www.legis.iowa.gov/docs/iac/rule/441.83.61.pdf" Type="http://schemas.openxmlformats.org/officeDocument/2006/relationships/hyperlink" Id="rId15"/>
    <Relationship TargetMode="External" Target="https://www.legis.iowa.gov/docs/iac/rule/441.83.61.pdf" Type="http://schemas.openxmlformats.org/officeDocument/2006/relationships/hyperlink" Id="rId16"/>
    <Relationship TargetMode="External" Target="https://www.legis.iowa.gov/docs/iac/rule/441.83.61.pdf" Type="http://schemas.openxmlformats.org/officeDocument/2006/relationships/hyperlink" Id="rId17"/>
    <Relationship Target="footer.xml" Type="http://schemas.openxmlformats.org/officeDocument/2006/relationships/footer" Id="rId1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