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redetermination of eligibility for the health and disability waiver shall be completed at least once every 12 months or when there is significant change in the person’s situation or condition. A redetermination of continuing eligibility factors shall be made in accordance with rules </w:t>
      </w:r>
      <w:hyperlink r:id="rId4">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 xml:space="preserve">(249A) and </w:t>
      </w:r>
      <w:hyperlink r:id="rId5">
        <w:r>
          <w:rPr>
            <w:rStyle w:val="Hyperlink"/>
            <w:rFonts w:ascii="Times New Roman" w:hAnsi="Times New Roman"/>
            <w:b w:val="false"/>
            <w:i w:val="false"/>
            <w:color w:val="000000"/>
            <w:sz w:val="22"/>
          </w:rPr>
          <w:t>441—83.2</w:t>
        </w:r>
      </w:hyperlink>
      <w:r>
        <w:rPr>
          <w:rFonts w:ascii="Times New Roman" w:hAnsi="Times New Roman"/>
          <w:b w:val="false"/>
          <w:i w:val="false"/>
          <w:color w:val="000000"/>
          <w:sz w:val="22"/>
        </w:rPr>
        <w:t xml:space="preserve">(249A). A redetermination shall include verification of the existence of a current service plan meeting the requirements listed in rule </w:t>
      </w:r>
      <w:hyperlink r:id="rId6">
        <w:r>
          <w:rPr>
            <w:rStyle w:val="Hyperlink"/>
            <w:rFonts w:ascii="Times New Roman" w:hAnsi="Times New Roman"/>
            <w:b w:val="false"/>
            <w:i w:val="false"/>
            <w:color w:val="000000"/>
            <w:sz w:val="22"/>
          </w:rPr>
          <w:t>441—83.7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7.pdf" Type="http://schemas.openxmlformats.org/officeDocument/2006/relationships/hyperlink" Id="rId4"/>
    <Relationship TargetMode="External" Target="https://www.legis.iowa.gov/docs/iac/rule/441.83.2.pdf" Type="http://schemas.openxmlformats.org/officeDocument/2006/relationships/hyperlink" Id="rId5"/>
    <Relationship TargetMode="External" Target="https://www.legis.iowa.gov/docs/iac/rule/441.83.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