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441—83.47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service plan will be prepared for AIDS/HIV waiver members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441—130.7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(234) except that service plans for both children and adults will be completed every 12 months or when there is significant change in the person’s situation or condition.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include the frequency of the AIDS/HIV waiver services and the types of providers who will deliver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indicate whether the member has elected the consumer choices option. If the member has elected the consumer choices option, the service plan will identify: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independent support broker selected by the member;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financial management service selected by the member.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plans for members aged 20 or under must be developed to reflect use of all appropriate nonwaiver Medicaid services so as not to replace or duplicate those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identify a plan for emergencies and the supports available to the member in an emergency.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30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