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441—83.43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HCBS AIDS/HIV waiver services. </w:t>
      </w:r>
      <w:r>
        <w:rPr>
          <w:rFonts w:ascii="Times New Roman" w:hAnsi="Times New Roman"/>
          <w:b w:val="false"/>
          <w:i w:val="false"/>
          <w:color w:val="000000"/>
          <w:sz w:val="22"/>
        </w:rPr>
        <w:t xml:space="preserve">The application process as specified in rules </w:t>
      </w:r>
      <w:hyperlink r:id="rId4">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through </w:t>
      </w:r>
      <w:hyperlink r:id="rId5">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83.43(2)</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HCBS AIDS/HIV waiver program will be processed in 30 days unless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department has not received information that is beyond the control of the client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a level of care determination has not been made although the completed assessment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will be mailed or given to the applicant on the date when income maintenance eligibility and level of care determinations and the member service plan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be given the choice between HCBS AIDS/HIV waiver services and institutional care. The applicant, parent, guardian, or attorney in fact under a durable power of attorney for health care shall sign the assessment and indicate that the applicant has elected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Waiver services provided prior to approval of eligibility for the waiver cannot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eligibility for the AIDS/HIV waiver for persons who are already determined eligible for Medicaid is the date on which the income and resource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AIDS/HIV waiver for persons who qualify for Medicaid due to eligibility for the waiver services and to whom </w:t>
      </w:r>
      <w:hyperlink r:id="rId6">
        <w:r>
          <w:rPr>
            <w:rStyle w:val="Hyperlink"/>
            <w:rFonts w:ascii="Times New Roman" w:hAnsi="Times New Roman"/>
            <w:b w:val="false"/>
            <w:i w:val="false"/>
            <w:color w:val="000000"/>
            <w:sz w:val="22"/>
          </w:rPr>
          <w:t>441—paragraph 75.6(4)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do not apply is the date on which income and resource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the waiver continues until the recipient has been in a medical institution for 120 consecutive days for other than respite care or fails to meet eligibility criteria listed in rule </w:t>
      </w:r>
      <w:hyperlink r:id="rId8">
        <w:r>
          <w:rPr>
            <w:rStyle w:val="Hyperlink"/>
            <w:rFonts w:ascii="Times New Roman" w:hAnsi="Times New Roman"/>
            <w:b w:val="false"/>
            <w:i w:val="false"/>
            <w:color w:val="000000"/>
            <w:sz w:val="22"/>
          </w:rPr>
          <w:t>441—83.42</w:t>
        </w:r>
      </w:hyperlink>
      <w:r>
        <w:rPr>
          <w:rFonts w:ascii="Times New Roman" w:hAnsi="Times New Roman"/>
          <w:b w:val="false"/>
          <w:i w:val="false"/>
          <w:color w:val="000000"/>
          <w:sz w:val="22"/>
        </w:rPr>
        <w:t>(249A). Recipients who are inpatients in a medical institution for 120 or more consecutive days for other than respite care will be reviewed for eligibility for other Medicaid coverage groups and terminated from AIDS/HIV waiver services if found eligible under another coverage group. The recipient will be notified of that decision through a notice of decision. If the member returns home before the effective date of the notice of decision and the person’s condition has not substantially changed,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AIDS/HIV waiver for persons who qualify for Medicaid due to eligibility for the waiver services and to whom the eligibility factors set forth in </w:t>
      </w:r>
      <w:hyperlink r:id="rId9">
        <w:r>
          <w:rPr>
            <w:rStyle w:val="Hyperlink"/>
            <w:rFonts w:ascii="Times New Roman" w:hAnsi="Times New Roman"/>
            <w:b w:val="false"/>
            <w:i w:val="false"/>
            <w:color w:val="000000"/>
            <w:sz w:val="22"/>
          </w:rPr>
          <w:t>441—paragraph 75.6(4)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for married persons, in rule </w:t>
      </w:r>
      <w:hyperlink r:id="rId10">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have been satisfied is the date on which the income eligibility and level of care determinations are completed but will not be earlier than the first of the month following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83.43(4)</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11">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the date on which the waiver applicant met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6.1.pdf" Type="http://schemas.openxmlformats.org/officeDocument/2006/relationships/hyperlink" Id="rId4"/>
    <Relationship TargetMode="External" Target="https://www.legis.iowa.gov/docs/iac/rule/441.76.6.pdf" Type="http://schemas.openxmlformats.org/officeDocument/2006/relationships/hyperlink" Id="rId5"/>
    <Relationship TargetMode="External" Target="https://www.legis.iowa.gov/docs/iac/rule/441.75.6.pdf" Type="http://schemas.openxmlformats.org/officeDocument/2006/relationships/hyperlink" Id="rId6"/>
    <Relationship TargetMode="External" Target="https://www.legis.iowa.gov/docs/iac/rule/441.75.82.pdf" Type="http://schemas.openxmlformats.org/officeDocument/2006/relationships/hyperlink" Id="rId7"/>
    <Relationship TargetMode="External" Target="https://www.legis.iowa.gov/docs/iac/rule/441.83.42.pdf" Type="http://schemas.openxmlformats.org/officeDocument/2006/relationships/hyperlink" Id="rId8"/>
    <Relationship TargetMode="External" Target="https://www.legis.iowa.gov/docs/iac/rule/441.75.6.pdf" Type="http://schemas.openxmlformats.org/officeDocument/2006/relationships/hyperlink" Id="rId9"/>
    <Relationship TargetMode="External" Target="https://www.legis.iowa.gov/docs/iac/rule/441.75.82.pdf" Type="http://schemas.openxmlformats.org/officeDocument/2006/relationships/hyperlink" Id="rId10"/>
    <Relationship TargetMode="External" Target="https://www.legis.iowa.gov/docs/iac/rule/441.75.82.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