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441—83.42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AIDS/HIV waiver services a person must meet certain eligibility criteria and be determined to need a service(s) allowable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83.42(1)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All of the following criteria must be met. The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diagnosed by a physician as having AIDS or HIV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certified in need of the level of care that, but for the waiver, would otherwise be provided in a nursing facility or hospital based, in part, on information submitted on a completed information submission tool for children aged 3 and under, the interRAI - Pediatric Home Care (PEDS-HC) for those aged 4 to 20, or the interRAI - Home Care (HC) for those aged 21 and over and other supporting documentation as relevant. The information submission tool, the interRAI - PEDS-HC, and the interRAI - HC are available on request from the department. Copies of the completed information submission tool for an individual are available to that individual from the individual’s case manager or MCO.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assessment as listed in paragraph </w:t>
      </w:r>
      <w:hyperlink r:id="rId4">
        <w:r>
          <w:rPr>
            <w:rStyle w:val="Hyperlink"/>
            <w:rFonts w:ascii="Times New Roman" w:hAnsi="Times New Roman"/>
            <w:b w:val="false"/>
            <w:i w:val="false"/>
            <w:color w:val="000000"/>
            <w:sz w:val="22"/>
          </w:rPr>
          <w:t>83.42(1)</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be completed when the person applies for waiver services, upon request to report a significant change in the person’s condition, and annually for reassessment of the person’s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be responsible for approval of the certification of the level of care, and the department or an MCO will be responsible for annual redeterminations.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AIDS/HIV waiver services will not be provided when the person is an inpatient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eligible for medical assistance under supplemental security income (SSI), SSI-related, FMAP, or FMAP-related coverage groups; medically needy at hospital level of care; or a special income level (300 percent group); or become eligible through application of the institutional deeming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and use at least quarterly, one service available under the waiver as determined through an evaluation of need described in subrule </w:t>
      </w:r>
      <w:hyperlink r:id="rId5">
        <w:r>
          <w:rPr>
            <w:rStyle w:val="Hyperlink"/>
            <w:rFonts w:ascii="Times New Roman" w:hAnsi="Times New Roman"/>
            <w:b w:val="false"/>
            <w:i w:val="false"/>
            <w:color w:val="000000"/>
            <w:sz w:val="22"/>
          </w:rPr>
          <w:t>83.42(2)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service needs such that the costs of the waiver services are not likely to exceed the costs of care that would otherwise be provided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income that does not exceed 300 percent of the maximum monthly payment for one person under supplemental security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consumer choices option as set forth in </w:t>
      </w:r>
      <w:hyperlink r:id="rId6">
        <w:r>
          <w:rPr>
            <w:rStyle w:val="Hyperlink"/>
            <w:rFonts w:ascii="Times New Roman" w:hAnsi="Times New Roman"/>
            <w:b w:val="false"/>
            <w:i w:val="false"/>
            <w:color w:val="000000"/>
            <w:sz w:val="22"/>
          </w:rPr>
          <w:t>441—subrule 78.38(9)</w:t>
        </w:r>
      </w:hyperlink>
      <w:r>
        <w:rPr>
          <w:rFonts w:ascii="Times New Roman" w:hAnsi="Times New Roman"/>
          <w:b w:val="false"/>
          <w:i w:val="false"/>
          <w:color w:val="000000"/>
          <w:sz w:val="22"/>
        </w:rPr>
        <w:t>, not be living in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83.42(2)</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designated case manager will review the assessment of the person’s need for waiver services and determine the availability and appropriateness of services. This review will be based, in part, on information in the completed information submission tool designated in paragraph </w:t>
      </w:r>
      <w:hyperlink r:id="rId7">
        <w:r>
          <w:rPr>
            <w:rStyle w:val="Hyperlink"/>
            <w:rFonts w:ascii="Times New Roman" w:hAnsi="Times New Roman"/>
            <w:b w:val="false"/>
            <w:i w:val="false"/>
            <w:color w:val="000000"/>
            <w:sz w:val="22"/>
          </w:rPr>
          <w:t>83.42(1)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other supporting documentation as relevant.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monthly cost of the AIDS/HIV waiver services will not exceed the established aggregate monthly cost for level of care. The monthly cost of AIDS/HIV waiver services cannot exceed the established limit of $2,128.08.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83.42.pdf" Type="http://schemas.openxmlformats.org/officeDocument/2006/relationships/hyperlink" Id="rId4"/>
    <Relationship TargetMode="External" Target="https://www.legis.iowa.gov/docs/iac/rule/441.83.42.pdf" Type="http://schemas.openxmlformats.org/officeDocument/2006/relationships/hyperlink" Id="rId5"/>
    <Relationship TargetMode="External" Target="https://www.legis.iowa.gov/docs/iac/rule/441.78.38.pdf" Type="http://schemas.openxmlformats.org/officeDocument/2006/relationships/hyperlink" Id="rId6"/>
    <Relationship TargetMode="External" Target="https://www.legis.iowa.gov/docs/iac/rule/441.83.42.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