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r>
        <w:rPr>
          <w:rFonts w:ascii="Times New Roman" w:hAnsi="Times New Roman"/>
          <w:b w:val="false"/>
          <w:i w:val="false"/>
          <w:color w:val="000000"/>
          <w:sz w:val="22"/>
        </w:rPr>
        <w:t>Persons must contribute their predetermined financial participation to the cost of health and disability waiver services or other Medicaid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83.4(1)</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the individual. </w:t>
      </w:r>
      <w:r>
        <w:rPr>
          <w:rFonts w:ascii="Times New Roman" w:hAnsi="Times New Roman"/>
          <w:b w:val="false"/>
          <w:i w:val="false"/>
          <w:color w:val="000000"/>
          <w:sz w:val="22"/>
        </w:rPr>
        <w:t>The maintenance needs of the individual will be computed by deducting an amount that is 300 percent of the maximum monthly payment for one person under supplemental security income (SSI)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established by the service worker or targeted case manager for health and disability waiver services, Medicaid will make no payments to health and disability waiver service providers. However, Medicaid will make payments to other medical vendors,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