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441—83.3</w:t>
      </w:r>
      <w:r>
        <w:rPr>
          <w:rFonts w:ascii="Times New Roman" w:hAnsi="Times New Roman"/>
          <w:b/>
          <w:i w:val="false"/>
          <w:color w:val="000000"/>
          <w:sz w:val="22"/>
        </w:rPr>
        <w:t xml:space="preserve">(249A)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HCBS health and disability waiver services. </w:t>
      </w:r>
      <w:r>
        <w:rPr>
          <w:rFonts w:ascii="Times New Roman" w:hAnsi="Times New Roman"/>
          <w:b w:val="false"/>
          <w:i w:val="false"/>
          <w:color w:val="000000"/>
          <w:sz w:val="22"/>
        </w:rPr>
        <w:t xml:space="preserve">The application process as specified in rules </w:t>
      </w:r>
      <w:hyperlink r:id="rId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(249A) through </w:t>
      </w:r>
      <w:hyperlink r:id="rId5">
        <w:r>
          <w:rPr>
            <w:rStyle w:val="Hyperlink"/>
            <w:rFonts w:ascii="Times New Roman" w:hAnsi="Times New Roman"/>
            <w:b w:val="false"/>
            <w:i w:val="false"/>
            <w:color w:val="000000"/>
            <w:sz w:val="22"/>
          </w:rPr>
          <w:t>441—76.6</w:t>
        </w:r>
      </w:hyperlink>
      <w:r>
        <w:rPr>
          <w:rFonts w:ascii="Times New Roman" w:hAnsi="Times New Roman"/>
          <w:b w:val="false"/>
          <w:i w:val="false"/>
          <w:color w:val="000000"/>
          <w:sz w:val="22"/>
        </w:rPr>
        <w:t>(249A)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services program limit. </w:t>
      </w:r>
      <w:r>
        <w:rPr>
          <w:rFonts w:ascii="Times New Roman" w:hAnsi="Times New Roman"/>
          <w:b w:val="false"/>
          <w:i w:val="false"/>
          <w:color w:val="000000"/>
          <w:sz w:val="22"/>
        </w:rPr>
        <w:t>The number of persons who may be approved for the HCBS health and disability waiver will be subject to the number of members to be served as set forth in the federally approved HCBS health and disability waiver. The number of members to be served is set forth at the time of each five-year renewal of the waiver or in amendments to the waiver approved by the Centers for Medicare and Medicaid Services (CMS). When the number of applicants exceeds the number of members specified in the approved waiver, the applicant’s name will be placed on a waiting list maintained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field office will enter all waiver applications into the institutional and waiver service and narrative system (IoWANS) to determine whether a payment slot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applicants not currently receiving Medicaid, the department field office will make the entry by the end of the fifth working day after receipt of a completed application for health coverage and help paying costs or within five working days after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current Medicaid members, the department field office will make the entry by the end of the fifth working day after receipt of a written request signed and dated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payment slot will be assigned to the applicant upon confirmation of an available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field office will give written notice to the applicant. The department will hold the payment slot for the applicant as long as reasonable efforts are being made to arrange services and the applicant has not been determined to be ineligible for the program. If services have not been initiated and reasonable efforts are no longer being made to arrange services, the slot will revert for use by the next person on the waiting list, if applicable. The applicant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payment slot is available, the department will enter persons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Applicants not currently eligible for Medicaid will be entered on the waiting list on the basis of the date a completed application for health coverage and help paying costs is received by the department or upon receipt of disability determination,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currently eligible for Medicaid will be added to the waiting list on the basis of the date a request as specified in subparagraph </w:t>
      </w:r>
      <w:hyperlink r:id="rId6">
        <w:r>
          <w:rPr>
            <w:rStyle w:val="Hyperlink"/>
            <w:rFonts w:ascii="Times New Roman" w:hAnsi="Times New Roman"/>
            <w:b w:val="false"/>
            <w:i w:val="false"/>
            <w:color w:val="000000"/>
            <w:sz w:val="22"/>
          </w:rPr>
          <w:t>83.3(2)</w:t>
        </w:r>
      </w:hyperlink>
      <w:r>
        <w:rPr>
          <w:rFonts w:ascii="Times New Roman" w:hAnsi="Times New Roman"/>
          <w:b w:val="false"/>
          <w:i/>
          <w:color w:val="000000"/>
          <w:sz w:val="22"/>
        </w:rPr>
        <w:t>“a”</w:t>
      </w:r>
      <w:r>
        <w:rPr>
          <w:rFonts w:ascii="Times New Roman" w:hAnsi="Times New Roman"/>
          <w:b w:val="false"/>
          <w:i w:val="false"/>
          <w:color w:val="000000"/>
          <w:sz w:val="22"/>
        </w:rPr>
        <w:t>(2)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at one time, persons shall be entered on the waiting list on the basis of the month of birth,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Applicants who do not fall within the available slots will have their application rejected, and their names will be maintained on the waiting list. They will be contacted to reapply as slots become available based on their order on the waiting list so that the number of approved persons on the program is maintained. Iowa Medicaid will contact the department field office when a slot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Once a payment slot is assigned, the department field office will give written notice to the person within five working days. The department will hold the payment slot for 30 days for the person to file a new application. If an application has not been filed within 30 days, the slot will revert for use by the next person on the waiting list, if applicable. The person originally assigned the slot must reapply for a new slot.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field office will notify Iowa Medicaid within five working days of the receipt of an application and of any action on or withdrawal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83.3(3)</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the HCBS health and disability waiver program will be processed in 30 days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application has been filed and is pending for federal supplemental security income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that is beyond the control of the client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due to the disability determination process performed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a level of care determination has not been made although the required assessment has been submitted to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required assessment has not been completed. When a determination is not completed 90 days from the date of application due to the lack of a completed assessment, the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will be mailed or given to the applicant on the date when income maintenance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be given the choice between HCBS health and disability waiver services and institutional care. The applicant, parent, guardian, or attorney in fact under a durable power of attorney for health care shall sign the assessment and indicate that the applicant has elected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Waiver services provided prior to approval of eligibility for the waiver cannot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member may be enrolled in only one waiver program at a time. Costs for waiver services are not reimbursable while the member is in a medical institution (hospital or nursing facility) or residential facility. Services will not be simultaneously reimbursed for the same time period as Medicaid or other Medicaid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83.3(4)</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Deeming of parental or spousal income and resources ceases and eligibility will be effective on the date the income and resource eligibility and level of care determinations are completed but will not be earlier than the first of the month following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for the health and disability waiver for persons who qualify for Medicaid due to eligibility for the waiver services and to whom paragraphs </w:t>
      </w:r>
      <w:hyperlink r:id="rId7">
        <w:r>
          <w:rPr>
            <w:rStyle w:val="Hyperlink"/>
            <w:rFonts w:ascii="Times New Roman" w:hAnsi="Times New Roman"/>
            <w:b w:val="false"/>
            <w:i w:val="false"/>
            <w:color w:val="000000"/>
            <w:sz w:val="22"/>
          </w:rPr>
          <w:t>83.3(4)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do not apply is the date on which the income eligibility and level of care determinations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persons covered under subparagraph </w:t>
      </w:r>
      <w:hyperlink r:id="rId8">
        <w:r>
          <w:rPr>
            <w:rStyle w:val="Hyperlink"/>
            <w:rFonts w:ascii="Times New Roman" w:hAnsi="Times New Roman"/>
            <w:b w:val="false"/>
            <w:i w:val="false"/>
            <w:color w:val="000000"/>
            <w:sz w:val="22"/>
          </w:rPr>
          <w:t>83.2(1)</w:t>
        </w:r>
      </w:hyperlink>
      <w:r>
        <w:rPr>
          <w:rFonts w:ascii="Times New Roman" w:hAnsi="Times New Roman"/>
          <w:b w:val="false"/>
          <w:i/>
          <w:color w:val="000000"/>
          <w:sz w:val="22"/>
        </w:rPr>
        <w:t>“c”</w:t>
      </w:r>
      <w:r>
        <w:rPr>
          <w:rFonts w:ascii="Times New Roman" w:hAnsi="Times New Roman"/>
          <w:b w:val="false"/>
          <w:i w:val="false"/>
          <w:color w:val="000000"/>
          <w:sz w:val="22"/>
        </w:rPr>
        <w:t>(3) will exist on the date the income and resource eligibility and level of care determinations are completed but will not be earlier than the first of the month following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Eligibility continues until the member has been in a medical institution for 120 consecutive days for other than respite care. Members who are inpatients in a medical institution for 120 or more consecutive days for other than respite care will be terminated from health and disability waiver services and reviewed for eligibility for other Medicaid coverage groups. The member will be notified of that decision through a notice of decision. If the member returns home before the effective date of the notice of decision and the member’s condition has not substantially changed, the denial may be rescinded and eligibility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83.3(5)</w:t>
      </w:r>
      <w:r>
        <w:rPr>
          <w:rFonts w:ascii="Times New Roman" w:hAnsi="Times New Roman"/>
          <w:b w:val="false"/>
          <w:i w:val="false"/>
          <w:color w:val="000000"/>
          <w:sz w:val="22"/>
        </w:rPr>
        <w:t> </w:t>
      </w:r>
      <w:r>
        <w:rPr>
          <w:rFonts w:ascii="Times New Roman" w:hAnsi="Times New Roman"/>
          <w:b w:val="false"/>
          <w:i/>
          <w:color w:val="000000"/>
          <w:sz w:val="22"/>
        </w:rPr>
        <w:t xml:space="preserve">Attribution of resources. </w:t>
      </w:r>
      <w:r>
        <w:rPr>
          <w:rFonts w:ascii="Times New Roman" w:hAnsi="Times New Roman"/>
          <w:b w:val="false"/>
          <w:i w:val="false"/>
          <w:color w:val="000000"/>
          <w:sz w:val="22"/>
        </w:rPr>
        <w:t xml:space="preserve">For the purposes of attributing resources as provided in rule </w:t>
      </w:r>
      <w:hyperlink r:id="rId9">
        <w:r>
          <w:rPr>
            <w:rStyle w:val="Hyperlink"/>
            <w:rFonts w:ascii="Times New Roman" w:hAnsi="Times New Roman"/>
            <w:b w:val="false"/>
            <w:i w:val="false"/>
            <w:color w:val="000000"/>
            <w:sz w:val="22"/>
          </w:rPr>
          <w:t>441—75.82</w:t>
        </w:r>
      </w:hyperlink>
      <w:r>
        <w:rPr>
          <w:rFonts w:ascii="Times New Roman" w:hAnsi="Times New Roman"/>
          <w:b w:val="false"/>
          <w:i w:val="false"/>
          <w:color w:val="000000"/>
          <w:sz w:val="22"/>
        </w:rPr>
        <w:t>(249A), the date on which the waiver applicant met the level of care criteria in a medical institution as established by the peer review organization will be used as the date of entry to the medical institution. Only one attribution of resources shall be completed per person. Attributions completed for prior institutionalizations will be applied to the waiver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6.1.pdf" Type="http://schemas.openxmlformats.org/officeDocument/2006/relationships/hyperlink" Id="rId4"/>
    <Relationship TargetMode="External" Target="https://www.legis.iowa.gov/docs/iac/rule/441.76.6.pdf" Type="http://schemas.openxmlformats.org/officeDocument/2006/relationships/hyperlink" Id="rId5"/>
    <Relationship TargetMode="External" Target="https://www.legis.iowa.gov/docs/iac/rule/441.83.3.pdf" Type="http://schemas.openxmlformats.org/officeDocument/2006/relationships/hyperlink" Id="rId6"/>
    <Relationship TargetMode="External" Target="https://www.legis.iowa.gov/docs/iac/rule/441.83.3.pdf" Type="http://schemas.openxmlformats.org/officeDocument/2006/relationships/hyperlink" Id="rId7"/>
    <Relationship TargetMode="External" Target="https://www.legis.iowa.gov/docs/iac/rule/441.83.2.pdf" Type="http://schemas.openxmlformats.org/officeDocument/2006/relationships/hyperlink" Id="rId8"/>
    <Relationship TargetMode="External" Target="https://www.legis.iowa.gov/docs/iac/rule/441.75.8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